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Inter Tight" w:cs="Inter Tight" w:eastAsia="Inter Tight" w:hAnsi="Inter Tight"/>
          <w:b/>
          <w:bCs/>
          <w:color w:val="B93232"/>
          <w:sz w:val="48"/>
          <w:szCs w:val="48"/>
        </w:rPr>
        <w:t xml:space="preserve">ARTE FACTO</w:t>
      </w:r>
    </w:p>
    <w:p>
      <w:pPr>
        <w:spacing w:after="220"/>
      </w:pPr>
      <w:r>
        <w:rPr>
          <w:rFonts w:ascii="Inter Tight" w:cs="Inter Tight" w:eastAsia="Inter Tight" w:hAnsi="Inter Tight"/>
          <w:b/>
          <w:bCs/>
          <w:color w:val="111111"/>
          <w:spacing w:val="14"/>
          <w:sz w:val="18"/>
          <w:szCs w:val="18"/>
        </w:rPr>
        <w:t xml:space="preserve">ÉTICAS CREATIVAS</w:t>
      </w:r>
    </w:p>
    <w:p>
      <w:pPr>
        <w:pBdr>
          <w:bottom w:val="single" w:color="B93232" w:sz="6" w:space="8"/>
        </w:pBdr>
      </w:pPr>
      <w:r>
        <w:rPr>
          <w:rFonts w:ascii="Inter Tight Light" w:cs="Inter Tight Light" w:eastAsia="Inter Tight Light" w:hAnsi="Inter Tight Light"/>
          <w:i/>
          <w:iCs/>
          <w:color w:val="666666"/>
          <w:sz w:val="20"/>
          <w:szCs w:val="20"/>
        </w:rPr>
        <w:t xml:space="preserve">Sistema de marca — Colores y tipografía</w:t>
      </w:r>
    </w:p>
    <w:p>
      <w:pPr>
        <w:pBdr>
          <w:bottom w:val="single" w:color="B93232" w:sz="8" w:space="4"/>
        </w:pBdr>
        <w:spacing w:after="200" w:before="420"/>
      </w:pPr>
      <w:r>
        <w:rPr>
          <w:rFonts w:ascii="Inter Tight" w:cs="Inter Tight" w:eastAsia="Inter Tight" w:hAnsi="Inter Tight"/>
          <w:b/>
          <w:bCs/>
          <w:color w:val="B93232"/>
          <w:sz w:val="24"/>
          <w:szCs w:val="24"/>
        </w:rPr>
        <w:t xml:space="preserve">□  </w:t>
      </w:r>
      <w:r>
        <w:rPr>
          <w:rFonts w:ascii="Inter Tight" w:cs="Inter Tight" w:eastAsia="Inter Tight" w:hAnsi="Inter Tight"/>
          <w:b/>
          <w:bCs/>
          <w:color w:val="B93232"/>
          <w:spacing w:val="10"/>
          <w:sz w:val="24"/>
          <w:szCs w:val="24"/>
        </w:rPr>
        <w:t xml:space="preserve">PALETA DE COLOR</w:t>
      </w:r>
    </w:p>
    <w:tbl>
      <w:tblPr>
        <w:tblW w:type="pct" w:w="100%"/>
        <w:tblBorders>
          <w:top w:val="single" w:color="CCCCCC" w:sz="4"/>
          <w:left w:val="none"/>
          <w:bottom w:val="single" w:color="CCCCCC" w:sz="4"/>
          <w:right w:val="none"/>
          <w:insideH w:val="single" w:color="DDDDDD" w:sz="4"/>
          <w:insideV w:val="none"/>
        </w:tblBorders>
      </w:tblPr>
      <w:tblGrid>
        <w:gridCol w:w="1800"/>
        <w:gridCol w:w="2600"/>
        <w:gridCol w:w="5100"/>
      </w:tblGrid>
      <w:tr>
        <w:tc>
          <w:tcPr>
            <w:tcW w:type="dxa" w:w="1800"/>
            <w:shd w:fill="B93232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/>
        </w:tc>
        <w:tc>
          <w:tcPr>
            <w:tcW w:type="dxa" w:w="26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9"/>
                <w:szCs w:val="19"/>
              </w:rPr>
              <w:t xml:space="preserve">Rojo ARTE FACTO</w:t>
            </w:r>
          </w:p>
          <w:p>
            <w:r>
              <w:rPr>
                <w:rFonts w:ascii="Inter Tight Light" w:cs="Inter Tight Light" w:eastAsia="Inter Tight Light" w:hAnsi="Inter Tight Light"/>
                <w:color w:val="666666"/>
                <w:sz w:val="18"/>
                <w:szCs w:val="18"/>
              </w:rPr>
              <w:t xml:space="preserve">#B93232</w:t>
            </w:r>
          </w:p>
        </w:tc>
        <w:tc>
          <w:tcPr>
            <w:tcW w:type="dxa" w:w="51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Color primario de marca. Fondos protagonistas, portadas, títulos, acentos y llamados a la acción.</w:t>
            </w:r>
          </w:p>
        </w:tc>
      </w:tr>
      <w:tr>
        <w:tc>
          <w:tcPr>
            <w:tcW w:type="dxa" w:w="1800"/>
            <w:shd w:fill="3459B6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/>
        </w:tc>
        <w:tc>
          <w:tcPr>
            <w:tcW w:type="dxa" w:w="26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9"/>
                <w:szCs w:val="19"/>
              </w:rPr>
              <w:t xml:space="preserve">Azul ARTE FACTO</w:t>
            </w:r>
          </w:p>
          <w:p>
            <w:r>
              <w:rPr>
                <w:rFonts w:ascii="Inter Tight Light" w:cs="Inter Tight Light" w:eastAsia="Inter Tight Light" w:hAnsi="Inter Tight Light"/>
                <w:color w:val="666666"/>
                <w:sz w:val="18"/>
                <w:szCs w:val="18"/>
              </w:rPr>
              <w:t xml:space="preserve">#3459B6</w:t>
            </w:r>
          </w:p>
        </w:tc>
        <w:tc>
          <w:tcPr>
            <w:tcW w:type="dxa" w:w="51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Color secundario. Contraste de sección, boutique, gráficas y elementos de apoyo al rojo.</w:t>
            </w:r>
          </w:p>
        </w:tc>
      </w:tr>
      <w:tr>
        <w:tc>
          <w:tcPr>
            <w:tcW w:type="dxa" w:w="1800"/>
            <w:shd w:fill="111111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/>
        </w:tc>
        <w:tc>
          <w:tcPr>
            <w:tcW w:type="dxa" w:w="26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9"/>
                <w:szCs w:val="19"/>
              </w:rPr>
              <w:t xml:space="preserve">Negro</w:t>
            </w:r>
          </w:p>
          <w:p>
            <w:r>
              <w:rPr>
                <w:rFonts w:ascii="Inter Tight Light" w:cs="Inter Tight Light" w:eastAsia="Inter Tight Light" w:hAnsi="Inter Tight Light"/>
                <w:color w:val="666666"/>
                <w:sz w:val="18"/>
                <w:szCs w:val="18"/>
              </w:rPr>
              <w:t xml:space="preserve">#111111</w:t>
            </w:r>
          </w:p>
        </w:tc>
        <w:tc>
          <w:tcPr>
            <w:tcW w:type="dxa" w:w="51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Logotipo principal, texto de cuerpo sobre fondos claros, fondos de alto contraste.</w:t>
            </w:r>
          </w:p>
        </w:tc>
      </w:tr>
      <w:tr>
        <w:tc>
          <w:tcPr>
            <w:tcW w:type="dxa" w:w="1800"/>
            <w:shd w:fill="FFFFFF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/>
        </w:tc>
        <w:tc>
          <w:tcPr>
            <w:tcW w:type="dxa" w:w="26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9"/>
                <w:szCs w:val="19"/>
              </w:rPr>
              <w:t xml:space="preserve">Blanco</w:t>
            </w:r>
          </w:p>
          <w:p>
            <w:r>
              <w:rPr>
                <w:rFonts w:ascii="Inter Tight Light" w:cs="Inter Tight Light" w:eastAsia="Inter Tight Light" w:hAnsi="Inter Tight Light"/>
                <w:color w:val="666666"/>
                <w:sz w:val="18"/>
                <w:szCs w:val="18"/>
              </w:rPr>
              <w:t xml:space="preserve">#FFFFFF</w:t>
            </w:r>
          </w:p>
        </w:tc>
        <w:tc>
          <w:tcPr>
            <w:tcW w:type="dxa" w:w="5100"/>
            <w:tcMar>
              <w:top w:type="dxa" w:w="140"/>
              <w:left w:type="dxa" w:w="220"/>
              <w:bottom w:type="dxa" w:w="140"/>
              <w:right w:type="dxa" w:w="220"/>
            </w:tcMar>
            <w:vAlign w:val="center"/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Logotipo sobre fondo rojo/negro, texto sobre fondos oscuros, espacios en negativo.</w:t>
            </w:r>
          </w:p>
        </w:tc>
      </w:tr>
    </w:tbl>
    <w:p>
      <w:pPr>
        <w:spacing w:after="100" w:before="260"/>
      </w:pPr>
      <w:r>
        <w:rPr>
          <w:rFonts w:ascii="Inter Tight" w:cs="Inter Tight" w:eastAsia="Inter Tight" w:hAnsi="Inter Tight"/>
          <w:b/>
          <w:bCs/>
          <w:color w:val="111111"/>
          <w:sz w:val="17"/>
          <w:szCs w:val="17"/>
        </w:rPr>
        <w:t xml:space="preserve">Valores exactos (RGB / CMYK aproximado)</w:t>
      </w:r>
    </w:p>
    <w:tbl>
      <w:tblPr>
        <w:tblW w:type="pct" w:w="100%"/>
        <w:tblBorders>
          <w:top w:val="single" w:color="CCCCCC" w:sz="4"/>
          <w:left w:val="none"/>
          <w:bottom w:val="single" w:color="CCCCCC" w:sz="4"/>
          <w:right w:val="none"/>
          <w:insideH w:val="single" w:color="DDDDDD" w:sz="4"/>
          <w:insideV w:val="single" w:color="EEEEEE" w:sz="4"/>
        </w:tblBorders>
      </w:tblPr>
      <w:tblGrid>
        <w:gridCol w:w="2600"/>
        <w:gridCol w:w="2900"/>
        <w:gridCol w:w="2000"/>
        <w:gridCol w:w="2000"/>
      </w:tblGrid>
      <w:tr>
        <w:tc>
          <w:tcPr>
            <w:tcW w:type="dxa" w:w="2600"/>
            <w:shd w:fill="F2EC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pacing w:val="4"/>
                <w:sz w:val="15"/>
                <w:szCs w:val="15"/>
              </w:rPr>
              <w:t xml:space="preserve">COLOR</w:t>
            </w:r>
          </w:p>
        </w:tc>
        <w:tc>
          <w:tcPr>
            <w:tcW w:type="dxa" w:w="2900"/>
            <w:shd w:fill="F2EC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pacing w:val="4"/>
                <w:sz w:val="15"/>
                <w:szCs w:val="15"/>
              </w:rPr>
              <w:t xml:space="preserve">HEX</w:t>
            </w:r>
          </w:p>
        </w:tc>
        <w:tc>
          <w:tcPr>
            <w:tcW w:type="dxa" w:w="2000"/>
            <w:shd w:fill="F2EC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pacing w:val="4"/>
                <w:sz w:val="15"/>
                <w:szCs w:val="15"/>
              </w:rPr>
              <w:t xml:space="preserve">RGB</w:t>
            </w:r>
          </w:p>
        </w:tc>
        <w:tc>
          <w:tcPr>
            <w:tcW w:type="dxa" w:w="2000"/>
            <w:shd w:fill="F2EC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pacing w:val="4"/>
                <w:sz w:val="15"/>
                <w:szCs w:val="15"/>
              </w:rPr>
              <w:t xml:space="preserve">CMYK APROX.</w:t>
            </w:r>
          </w:p>
        </w:tc>
      </w:tr>
      <w:tr>
        <w:tc>
          <w:tcPr>
            <w:tcW w:type="dxa" w:w="26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8"/>
                <w:szCs w:val="18"/>
              </w:rPr>
              <w:t xml:space="preserve">Rojo</w:t>
            </w:r>
          </w:p>
        </w:tc>
        <w:tc>
          <w:tcPr>
            <w:tcW w:type="dxa" w:w="29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B93232"/>
                <w:sz w:val="18"/>
                <w:szCs w:val="18"/>
              </w:rPr>
              <w:t xml:space="preserve">#B93232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185, 50, 50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16, 87, 82, 6</w:t>
            </w:r>
          </w:p>
        </w:tc>
      </w:tr>
      <w:tr>
        <w:tc>
          <w:tcPr>
            <w:tcW w:type="dxa" w:w="26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8"/>
                <w:szCs w:val="18"/>
              </w:rPr>
              <w:t xml:space="preserve">Azul</w:t>
            </w:r>
          </w:p>
        </w:tc>
        <w:tc>
          <w:tcPr>
            <w:tcW w:type="dxa" w:w="29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B93232"/>
                <w:sz w:val="18"/>
                <w:szCs w:val="18"/>
              </w:rPr>
              <w:t xml:space="preserve">#3459B6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52, 89, 182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84, 63, 0, 0</w:t>
            </w:r>
          </w:p>
        </w:tc>
      </w:tr>
      <w:tr>
        <w:tc>
          <w:tcPr>
            <w:tcW w:type="dxa" w:w="26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8"/>
                <w:szCs w:val="18"/>
              </w:rPr>
              <w:t xml:space="preserve">Negro</w:t>
            </w:r>
          </w:p>
        </w:tc>
        <w:tc>
          <w:tcPr>
            <w:tcW w:type="dxa" w:w="29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B93232"/>
                <w:sz w:val="18"/>
                <w:szCs w:val="18"/>
              </w:rPr>
              <w:t xml:space="preserve">#111111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17, 17, 17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68, 62, 60, 88</w:t>
            </w:r>
          </w:p>
        </w:tc>
      </w:tr>
      <w:tr>
        <w:tc>
          <w:tcPr>
            <w:tcW w:type="dxa" w:w="26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" w:cs="Inter Tight" w:eastAsia="Inter Tight" w:hAnsi="Inter Tight"/>
                <w:b/>
                <w:bCs/>
                <w:color w:val="111111"/>
                <w:sz w:val="18"/>
                <w:szCs w:val="18"/>
              </w:rPr>
              <w:t xml:space="preserve">Blanco</w:t>
            </w:r>
          </w:p>
        </w:tc>
        <w:tc>
          <w:tcPr>
            <w:tcW w:type="dxa" w:w="29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B93232"/>
                <w:sz w:val="18"/>
                <w:szCs w:val="18"/>
              </w:rPr>
              <w:t xml:space="preserve">#FFFFFF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255, 255, 255</w:t>
            </w:r>
          </w:p>
        </w:tc>
        <w:tc>
          <w:tcPr>
            <w:tcW w:type="dxa" w:w="2000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Inter Tight Light" w:cs="Inter Tight Light" w:eastAsia="Inter Tight Light" w:hAnsi="Inter Tight Light"/>
                <w:color w:val="111111"/>
                <w:sz w:val="18"/>
                <w:szCs w:val="18"/>
              </w:rPr>
              <w:t xml:space="preserve">0, 0, 0, 0</w:t>
            </w:r>
          </w:p>
        </w:tc>
      </w:tr>
    </w:tbl>
    <w:p>
      <w:pPr>
        <w:spacing w:before="20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Nota: </w:t>
      </w:r>
      <w:r>
        <w:rPr>
          <w:rFonts w:ascii="Inter Tight Light" w:cs="Inter Tight Light" w:eastAsia="Inter Tight Light" w:hAnsi="Inter Tight Light"/>
          <w:i/>
          <w:iCs/>
          <w:color w:val="666666"/>
          <w:sz w:val="16"/>
          <w:szCs w:val="16"/>
        </w:rPr>
        <w:t xml:space="preserve">los valores CMYK son una conversión aproximada del RGB y pueden variar según el perfil de color de cada documento. Para evitar diferencias entre Illustrator e InDesign, comparte el mismo swatch (.ase) entre ambos programas en vez de reescribir el código a mano.</w:t>
      </w:r>
    </w:p>
    <w:p>
      <w:pPr>
        <w:pBdr>
          <w:bottom w:val="single" w:color="B93232" w:sz="8" w:space="4"/>
        </w:pBdr>
        <w:spacing w:after="200" w:before="420"/>
      </w:pPr>
      <w:r>
        <w:rPr>
          <w:rFonts w:ascii="Inter Tight" w:cs="Inter Tight" w:eastAsia="Inter Tight" w:hAnsi="Inter Tight"/>
          <w:b/>
          <w:bCs/>
          <w:color w:val="B93232"/>
          <w:sz w:val="24"/>
          <w:szCs w:val="24"/>
        </w:rPr>
        <w:t xml:space="preserve">□  </w:t>
      </w:r>
      <w:r>
        <w:rPr>
          <w:rFonts w:ascii="Inter Tight" w:cs="Inter Tight" w:eastAsia="Inter Tight" w:hAnsi="Inter Tight"/>
          <w:b/>
          <w:bCs/>
          <w:color w:val="B93232"/>
          <w:spacing w:val="10"/>
          <w:sz w:val="24"/>
          <w:szCs w:val="24"/>
        </w:rPr>
        <w:t xml:space="preserve">TIPOGRAFÍA</w:t>
      </w:r>
    </w:p>
    <w:p>
      <w:pPr>
        <w:spacing w:after="4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Inter Tight — Black Italic  </w:t>
      </w:r>
      <w:r>
        <w:rPr>
          <w:rFonts w:ascii="Inter Tight Light" w:cs="Inter Tight Light" w:eastAsia="Inter Tight Light" w:hAnsi="Inter Tight Light"/>
          <w:i/>
          <w:iCs/>
          <w:color w:val="666666"/>
          <w:sz w:val="15"/>
          <w:szCs w:val="15"/>
        </w:rPr>
        <w:t xml:space="preserve">Títulos principales, portadas, cifras destacadas</w:t>
      </w:r>
    </w:p>
    <w:p>
      <w:pPr>
        <w:spacing w:after="60" w:before="200"/>
      </w:pPr>
      <w:r>
        <w:rPr>
          <w:rFonts w:ascii="Inter Tight" w:cs="Inter Tight" w:eastAsia="Inter Tight" w:hAnsi="Inter Tight"/>
          <w:b/>
          <w:bCs/>
          <w:i/>
          <w:iCs/>
          <w:color w:val="111111"/>
          <w:sz w:val="44"/>
          <w:szCs w:val="44"/>
        </w:rPr>
        <w:t xml:space="preserve">ARTE FACTO</w:t>
      </w:r>
    </w:p>
    <w:p>
      <w:pPr>
        <w:spacing w:after="4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Inter Tight — Medium Italic  </w:t>
      </w:r>
      <w:r>
        <w:rPr>
          <w:rFonts w:ascii="Inter Tight Light" w:cs="Inter Tight Light" w:eastAsia="Inter Tight Light" w:hAnsi="Inter Tight Light"/>
          <w:i/>
          <w:iCs/>
          <w:color w:val="666666"/>
          <w:sz w:val="15"/>
          <w:szCs w:val="15"/>
        </w:rPr>
        <w:t xml:space="preserve">Subtítulos, kickers, etiquetas de sección</w:t>
      </w:r>
    </w:p>
    <w:p>
      <w:pPr>
        <w:spacing w:after="60" w:before="200"/>
      </w:pPr>
      <w:r>
        <w:rPr>
          <w:rFonts w:ascii="Inter Tight" w:cs="Inter Tight" w:eastAsia="Inter Tight" w:hAnsi="Inter Tight"/>
          <w:b w:val="false"/>
          <w:bCs w:val="false"/>
          <w:i/>
          <w:iCs/>
          <w:color w:val="111111"/>
          <w:sz w:val="28"/>
          <w:szCs w:val="28"/>
        </w:rPr>
        <w:t xml:space="preserve">Éticas creativas</w:t>
      </w:r>
    </w:p>
    <w:p>
      <w:pPr>
        <w:spacing w:after="4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Inter Tight — Light  </w:t>
      </w:r>
      <w:r>
        <w:rPr>
          <w:rFonts w:ascii="Inter Tight Light" w:cs="Inter Tight Light" w:eastAsia="Inter Tight Light" w:hAnsi="Inter Tight Light"/>
          <w:i/>
          <w:iCs/>
          <w:color w:val="666666"/>
          <w:sz w:val="15"/>
          <w:szCs w:val="15"/>
        </w:rPr>
        <w:t xml:space="preserve">Cuerpo de texto, párrafos, listas</w:t>
      </w:r>
    </w:p>
    <w:p>
      <w:pPr>
        <w:spacing w:after="60" w:before="200"/>
      </w:pPr>
      <w:r>
        <w:rPr>
          <w:rFonts w:ascii="Inter Tight Light" w:cs="Inter Tight Light" w:eastAsia="Inter Tight Light" w:hAnsi="Inter Tight Light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El dominio del oficio como condición del discurso.</w:t>
      </w:r>
    </w:p>
    <w:p>
      <w:pPr>
        <w:spacing w:after="4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Garamond Italic  </w:t>
      </w:r>
      <w:r>
        <w:rPr>
          <w:rFonts w:ascii="Inter Tight Light" w:cs="Inter Tight Light" w:eastAsia="Inter Tight Light" w:hAnsi="Inter Tight Light"/>
          <w:i/>
          <w:iCs/>
          <w:color w:val="666666"/>
          <w:sz w:val="15"/>
          <w:szCs w:val="15"/>
        </w:rPr>
        <w:t xml:space="preserve">Frases destacadas, highlights conceptuales, notas curatoriales</w:t>
      </w:r>
    </w:p>
    <w:p>
      <w:pPr>
        <w:spacing w:after="60" w:before="200"/>
      </w:pPr>
      <w:r>
        <w:rPr>
          <w:rFonts w:ascii="Garamond" w:cs="Garamond" w:eastAsia="Garamond" w:hAnsi="Garamond"/>
          <w:b w:val="false"/>
          <w:bCs w:val="false"/>
          <w:i/>
          <w:iCs/>
          <w:color w:val="111111"/>
          <w:sz w:val="22"/>
          <w:szCs w:val="22"/>
        </w:rPr>
        <w:t xml:space="preserve">Lo visible no se ofrece del todo; lo sostienes.</w:t>
      </w:r>
    </w:p>
    <w:p>
      <w:pPr>
        <w:spacing w:before="260"/>
      </w:pPr>
      <w:r>
        <w:rPr>
          <w:rFonts w:ascii="Inter Tight" w:cs="Inter Tight" w:eastAsia="Inter Tight" w:hAnsi="Inter Tight"/>
          <w:b/>
          <w:bCs/>
          <w:color w:val="B93232"/>
          <w:sz w:val="16"/>
          <w:szCs w:val="16"/>
        </w:rPr>
        <w:t xml:space="preserve">Jerarquía rápida: </w:t>
      </w:r>
      <w:r>
        <w:rPr>
          <w:rFonts w:ascii="Inter Tight Light" w:cs="Inter Tight Light" w:eastAsia="Inter Tight Light" w:hAnsi="Inter Tight Light"/>
          <w:i/>
          <w:iCs/>
          <w:color w:val="666666"/>
          <w:sz w:val="16"/>
          <w:szCs w:val="16"/>
        </w:rPr>
        <w:t xml:space="preserve">Inter Tight Black Italic (títulos) → Inter Tight Medium Italic (subtítulos/kickers) → Inter Tight Light (cuerpo) → Garamond Italic (acentos y frases destacadas, uso puntual, no para bloques largos de texto).</w:t>
      </w:r>
    </w:p>
    <w:p>
      <w:pPr>
        <w:pBdr>
          <w:bottom w:val="single" w:color="B93232" w:sz="8" w:space="4"/>
        </w:pBdr>
        <w:spacing w:after="200" w:before="420"/>
      </w:pPr>
      <w:r>
        <w:rPr>
          <w:rFonts w:ascii="Inter Tight" w:cs="Inter Tight" w:eastAsia="Inter Tight" w:hAnsi="Inter Tight"/>
          <w:b/>
          <w:bCs/>
          <w:color w:val="B93232"/>
          <w:sz w:val="24"/>
          <w:szCs w:val="24"/>
        </w:rPr>
        <w:t xml:space="preserve">□  </w:t>
      </w:r>
      <w:r>
        <w:rPr>
          <w:rFonts w:ascii="Inter Tight" w:cs="Inter Tight" w:eastAsia="Inter Tight" w:hAnsi="Inter Tight"/>
          <w:b/>
          <w:bCs/>
          <w:color w:val="B93232"/>
          <w:spacing w:val="10"/>
          <w:sz w:val="24"/>
          <w:szCs w:val="24"/>
        </w:rPr>
        <w:t xml:space="preserve">USO RÁPIDO</w:t>
      </w:r>
    </w:p>
    <w:p>
      <w:pPr>
        <w:spacing w:after="80"/>
      </w:pPr>
      <w:r>
        <w:rPr>
          <w:rFonts w:ascii="Inter Tight Light" w:cs="Inter Tight Light" w:eastAsia="Inter Tight Light" w:hAnsi="Inter Tight Light"/>
          <w:color w:val="111111"/>
          <w:sz w:val="18"/>
          <w:szCs w:val="18"/>
        </w:rPr>
        <w:t xml:space="preserve">— Fondos rojos: texto en blanco o negro, nunca azul sobre rojo para cuerpo de texto extenso (baja legibilidad).</w:t>
      </w:r>
    </w:p>
    <w:p>
      <w:pPr>
        <w:spacing w:after="80"/>
      </w:pPr>
      <w:r>
        <w:rPr>
          <w:rFonts w:ascii="Inter Tight Light" w:cs="Inter Tight Light" w:eastAsia="Inter Tight Light" w:hAnsi="Inter Tight Light"/>
          <w:color w:val="111111"/>
          <w:sz w:val="18"/>
          <w:szCs w:val="18"/>
        </w:rPr>
        <w:t xml:space="preserve">— Fondos negros: texto en blanco, acentos en rojo para kickers y cifras.</w:t>
      </w:r>
    </w:p>
    <w:p>
      <w:pPr>
        <w:spacing w:after="80"/>
      </w:pPr>
      <w:r>
        <w:rPr>
          <w:rFonts w:ascii="Inter Tight Light" w:cs="Inter Tight Light" w:eastAsia="Inter Tight Light" w:hAnsi="Inter Tight Light"/>
          <w:color w:val="111111"/>
          <w:sz w:val="18"/>
          <w:szCs w:val="18"/>
        </w:rPr>
        <w:t xml:space="preserve">— Fondos blancos/claros: texto en negro, acentos en rojo para títulos y kickers, azul como color de apoyo puntual.</w:t>
      </w:r>
    </w:p>
    <w:p>
      <w:pPr>
        <w:spacing w:after="200"/>
      </w:pPr>
      <w:r>
        <w:rPr>
          <w:rFonts w:ascii="Inter Tight Light" w:cs="Inter Tight Light" w:eastAsia="Inter Tight Light" w:hAnsi="Inter Tight Light"/>
          <w:color w:val="111111"/>
          <w:sz w:val="18"/>
          <w:szCs w:val="18"/>
        </w:rPr>
        <w:t xml:space="preserve">— Garamond Italic: reservarlo para una sola frase por pieza — pierde impacto si se usa en varios bloques de la misma página.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2026-07-14T02:19:55.422Z</dcterms:created>
  <dcterms:modified xsi:type="dcterms:W3CDTF">2026-07-14T02:19:55.436Z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