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План непрерывности бизнеса</w:t>
      </w:r>
    </w:p>
    <w:p>
      <w:r>
        <w:rPr>
          <w:i/>
          <w:sz w:val="22"/>
        </w:rPr>
        <w:t>[Наименование компании]. Шаблон для производственной, торговой или сервисной компании. Утвержден [орган, дата].</w:t>
      </w:r>
    </w:p>
    <w:p>
      <w:r>
        <w:rPr>
          <w:sz w:val="20"/>
        </w:rPr>
        <w:t>Как пользоваться. Текст в квадратных скобках заменяется на данные организации. Разделы, помеченные «при необходимости», удаляются, если к организации неприменимы. Перед утверждением документ проверяет юридическая служба и служба внутреннего контроля.</w:t>
      </w:r>
    </w:p>
    <w:p>
      <w:pPr>
        <w:pStyle w:val="Heading1"/>
      </w:pPr>
      <w:r>
        <w:rPr>
          <w:color w:val="1B2A4A"/>
        </w:rPr>
        <w:t>1. Назначение, область действия, критерии активации</w:t>
      </w:r>
    </w:p>
    <w:p>
      <w:r>
        <w:t>План описывает действия компании при событиях, способных остановить критичные процессы дольше допустимого времени. План активируется решением [генерального директора или руководителя кризисного штаба] при наличии любого из признаков: [остановка производства более чем на X часов; недоступность основной площадки; отказ ключевой ИТ-системы; потеря ключевого поставщика; инцидент безопасности с остановкой работы].</w:t>
      </w:r>
    </w:p>
    <w:p>
      <w:pPr>
        <w:pStyle w:val="Heading1"/>
      </w:pPr>
      <w:r>
        <w:rPr>
          <w:color w:val="1B2A4A"/>
        </w:rPr>
        <w:t>2. Критичные процессы и целевые показатели</w:t>
      </w:r>
    </w:p>
    <w:p>
      <w:r>
        <w:t>Перечень берется из анализа воздействия на бизнес (BIA) и пересматривается ежегодно.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b/>
                <w:sz w:val="20"/>
              </w:rPr>
              <w:t>Процесс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20"/>
              </w:rPr>
              <w:t>Владелец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20"/>
              </w:rPr>
              <w:t>Допустимое время простоя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20"/>
              </w:rPr>
              <w:t>RTO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20"/>
              </w:rPr>
              <w:t>RPO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20"/>
              </w:rPr>
              <w:t>Минимальный уровень (MBCO)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20"/>
              </w:rPr>
              <w:t>[Отгрузка готовой продукции]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[директор по логистике]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[24 часа]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[8 часов]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[4 часа]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[50 % дневного объема по приоритетным клиентам]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20"/>
              </w:rPr>
              <w:t>[Прием заказов и выставление счетов]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[коммерческий директор]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[8 часов]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[4 часа]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[1 час]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[ручной прием по телефону, счета из шаблона]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20"/>
              </w:rPr>
              <w:t>[Расчет и выплата зарплаты]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[финансовый директор]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[3 дня]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[1 день]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[1 день]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[аванс по предыдущему расчету]</w:t>
            </w:r>
          </w:p>
        </w:tc>
      </w:tr>
    </w:tbl>
    <w:p/>
    <w:p>
      <w:pPr>
        <w:pStyle w:val="Heading1"/>
      </w:pPr>
      <w:r>
        <w:rPr>
          <w:color w:val="1B2A4A"/>
        </w:rPr>
        <w:t>3. Кризисный штаб и порядок принятия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Роль в штабе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Основной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Замещающий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Полномочия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Руководитель штаба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[генеральный директор]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[операционный директор]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Активация плана, решения о приоритетах, внешние коммуникации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Координатор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[руководитель функции непрерывности]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Сбор информации, ведение журнала, контроль сроков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Операции / производство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Перевод процессов на резервные схемы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ИТ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Восстановление систем, данные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Персонал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Безопасность людей, оповещение, замена сотрудников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Финансы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Платежи, резервные средства, страховое уведомление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Коммуникации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[…]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Клиенты, партнеры, СМИ</w:t>
            </w:r>
          </w:p>
        </w:tc>
      </w:tr>
    </w:tbl>
    <w:p/>
    <w:p>
      <w:pPr>
        <w:pStyle w:val="Heading1"/>
      </w:pPr>
      <w:r>
        <w:rPr>
          <w:color w:val="1B2A4A"/>
        </w:rPr>
        <w:t>4. Сценарии и стратегии восстановления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Стратегия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Ресурсы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Срок перехода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Недоступность основной площадки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[перенос на резервную площадку / удаленная работа / подрядчик]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[адрес, оборудование, доступы]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[часов]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Отказ ИТ-систем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[восстановление из резервной копии / ручной режим по бумажным формам]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[резервные копии, формы, люди]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[часов]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Потеря ключевого поставщика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[переход на резервного поставщика / запас на складе]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[договор с резервным поставщиком, страховой запас]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[дней]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Недоступность персонала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[замещение, подрядчики, приоритизация работ]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[матрица замещения]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[дней]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Кибератака / шифровальщик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[изоляция, восстановление из автономной копии, ручной режим]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[план реагирования ИБ]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[часов]</w:t>
            </w:r>
          </w:p>
        </w:tc>
      </w:tr>
    </w:tbl>
    <w:p/>
    <w:p>
      <w:pPr>
        <w:pStyle w:val="Heading1"/>
      </w:pPr>
      <w:r>
        <w:rPr>
          <w:color w:val="1B2A4A"/>
        </w:rPr>
        <w:t>5. Процедуры первых 24 часов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Ответственный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0–30 мин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Безопасность людей, подтверждение инцидента, сбор штаба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Руководитель подразделения, руководитель штаба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30–60 мин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Оценка масштаба, решение об активации, оповещение сотрудников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Штаб, координатор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1–4 часа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Запуск стратегий восстановления по приоритетным процессам, уведомление ключевых клиентов и партнеров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Операции, коммуникации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4–24 часа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Работа в резервном режиме, контроль показателей, уведомление страховой компании и, при необходимости, органов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Штаб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Далее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Планирование возврата к штатной работе, разбор инцидента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Штаб, координатор</w:t>
            </w:r>
          </w:p>
        </w:tc>
      </w:tr>
    </w:tbl>
    <w:p/>
    <w:p>
      <w:pPr>
        <w:pStyle w:val="Heading1"/>
      </w:pPr>
      <w:r>
        <w:rPr>
          <w:color w:val="1B2A4A"/>
        </w:rPr>
        <w:t>6. Коммуникации</w:t>
      </w:r>
    </w:p>
    <w:p>
      <w:r>
        <w:t>Шаблоны сообщений для сотрудников, клиентов, поставщиков, страховой компании и СМИ приводятся в приложении. Единственный уполномоченный спикер для внешних коммуникаций: [должность].</w:t>
      </w:r>
    </w:p>
    <w:p>
      <w:pPr>
        <w:pStyle w:val="Heading1"/>
      </w:pPr>
      <w:r>
        <w:rPr>
          <w:color w:val="1B2A4A"/>
        </w:rPr>
        <w:t>7. Ресурсы и контакты</w:t>
      </w:r>
    </w:p>
    <w:p>
      <w:pPr>
        <w:pStyle w:val="ListBullet"/>
      </w:pPr>
      <w:r>
        <w:t>Резервная площадка: [адрес, вместимость, как попасть]</w:t>
      </w:r>
    </w:p>
    <w:p>
      <w:pPr>
        <w:pStyle w:val="ListBullet"/>
      </w:pPr>
      <w:r>
        <w:t>Резервные копии: [где, периодичность, кто восстанавливает]</w:t>
      </w:r>
    </w:p>
    <w:p>
      <w:pPr>
        <w:pStyle w:val="ListBullet"/>
      </w:pPr>
      <w:r>
        <w:t>Страховые полисы: [перерыв в деятельности, имущество, номера и контакты]</w:t>
      </w:r>
    </w:p>
    <w:p>
      <w:pPr>
        <w:pStyle w:val="ListBullet"/>
      </w:pPr>
      <w:r>
        <w:t>Контактный лист штаба, ключевых сотрудников, поставщиков и клиентов: приложение</w:t>
      </w:r>
    </w:p>
    <w:p>
      <w:pPr>
        <w:pStyle w:val="Heading1"/>
      </w:pPr>
      <w:r>
        <w:rPr>
          <w:color w:val="1B2A4A"/>
        </w:rPr>
        <w:t>8. Тестирование и актуализация</w:t>
      </w:r>
    </w:p>
    <w:p>
      <w:r>
        <w:t>План тестируется не реже одного раза в год (настольный разбор) и раз в [два года] натурно. Пересматривается ежегодно и после каждого инцидента с активацией. Ответственный: [должность].</w:t>
      </w:r>
    </w:p>
    <w:p>
      <w:pPr>
        <w:pStyle w:val="Heading1"/>
      </w:pPr>
      <w:r>
        <w:rPr>
          <w:color w:val="1B2A4A"/>
        </w:rPr>
        <w:t>Приложения</w:t>
      </w:r>
    </w:p>
    <w:p>
      <w:pPr>
        <w:pStyle w:val="ListBullet"/>
      </w:pPr>
      <w:r>
        <w:t>А. Результаты BIA</w:t>
      </w:r>
    </w:p>
    <w:p>
      <w:pPr>
        <w:pStyle w:val="ListBullet"/>
      </w:pPr>
      <w:r>
        <w:t>Б. Контактные листы</w:t>
      </w:r>
    </w:p>
    <w:p>
      <w:pPr>
        <w:pStyle w:val="ListBullet"/>
      </w:pPr>
      <w:r>
        <w:t>В. Шаблоны сообщений</w:t>
      </w:r>
    </w:p>
    <w:p>
      <w:pPr>
        <w:pStyle w:val="ListBullet"/>
      </w:pPr>
      <w:r>
        <w:t>Г. Журнал инцидентов</w:t>
      </w:r>
    </w:p>
    <w:p>
      <w:pPr>
        <w:pStyle w:val="ListBullet"/>
      </w:pPr>
      <w:r>
        <w:t>Д. Протоколы тестирования</w:t>
      </w:r>
    </w:p>
    <w:p>
      <w:r>
        <w:rPr>
          <w:color w:val="808080"/>
          <w:sz w:val="18"/>
        </w:rPr>
        <w:t>Шаблон подготовлен bcm.risk-place.ru, практика непрерывности бизнеса Евгения Теленкова. Свободное использование внутри организации. Версия от 01.10.2026.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