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7865" w14:textId="0A212EA4" w:rsidR="00710415" w:rsidRDefault="00710415" w:rsidP="00710415">
      <w:pPr>
        <w:pStyle w:val="73220174"/>
      </w:pPr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46F159D9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4BF835FF" w:rsidR="00E05F81" w:rsidRDefault="00E05F81" w:rsidP="00710415">
      <w:pPr>
        <w:pStyle w:val="73220171"/>
      </w:pPr>
      <w:r>
        <w:t>Постановка задачи</w:t>
      </w:r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proofErr w:type="spellStart"/>
      <w:r w:rsidR="00526B83">
        <w:rPr>
          <w:lang w:val="en-US" w:eastAsia="ru-RU"/>
        </w:rPr>
        <w:t>RoFA</w:t>
      </w:r>
      <w:proofErr w:type="spellEnd"/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lastRenderedPageBreak/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3ADD8577" w:rsidR="00325CDF" w:rsidRDefault="00B14763" w:rsidP="0031204D">
      <w:pPr>
        <w:pStyle w:val="73220171"/>
        <w:rPr>
          <w:rFonts w:eastAsiaTheme="minorEastAsia"/>
        </w:rPr>
      </w:pPr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4D37041B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 xml:space="preserve">четырех </w:t>
      </w:r>
      <w:proofErr w:type="gramStart"/>
      <w:r w:rsidR="001A6E7F" w:rsidRPr="005E3EE3">
        <w:rPr>
          <w:rFonts w:eastAsiaTheme="minorEastAsia"/>
          <w:iCs/>
          <w:highlight w:val="yellow"/>
          <w:lang w:eastAsia="ru-RU"/>
        </w:rPr>
        <w:t>видов</w:t>
      </w:r>
      <w:r w:rsidR="005E3EE3">
        <w:rPr>
          <w:rFonts w:eastAsiaTheme="minorEastAsia"/>
          <w:iCs/>
          <w:lang w:eastAsia="ru-RU"/>
        </w:rPr>
        <w:t>(</w:t>
      </w:r>
      <w:proofErr w:type="gramEnd"/>
      <w:r w:rsidR="005E3EE3">
        <w:rPr>
          <w:rFonts w:eastAsiaTheme="minorEastAsia"/>
          <w:iCs/>
          <w:lang w:eastAsia="ru-RU"/>
        </w:rPr>
        <w:t>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6B445199" w:rsidR="00973C52" w:rsidRDefault="00884C0D" w:rsidP="004135E5">
      <w:pPr>
        <w:pStyle w:val="73220171"/>
        <w:rPr>
          <w:rFonts w:eastAsiaTheme="minorEastAsia"/>
        </w:rPr>
      </w:pPr>
      <w:r>
        <w:rPr>
          <w:rFonts w:eastAsiaTheme="minorEastAsia"/>
        </w:rPr>
        <w:t>Кластеризация</w:t>
      </w:r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агломеративной</w:t>
      </w:r>
      <w:proofErr w:type="spellEnd"/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spellStart"/>
      <w:r w:rsidR="00A61363">
        <w:rPr>
          <w:lang w:val="en-US" w:eastAsia="ru-RU"/>
        </w:rPr>
        <w:t>scipy</w:t>
      </w:r>
      <w:proofErr w:type="spellEnd"/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proofErr w:type="spellStart"/>
      <w:r w:rsidR="00C3447D">
        <w:t>центроиды</w:t>
      </w:r>
      <w:proofErr w:type="spellEnd"/>
      <w:r w:rsidR="00C3447D">
        <w:t xml:space="preserve">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 xml:space="preserve">Во-первых, выделились два кластера с </w:t>
      </w:r>
      <w:proofErr w:type="spellStart"/>
      <w:r>
        <w:t>доминирущим</w:t>
      </w:r>
      <w:proofErr w:type="spellEnd"/>
      <w:r>
        <w:t xml:space="preserve">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5CF54A32" w:rsidR="000D788C" w:rsidRDefault="000D788C" w:rsidP="000D788C">
      <w:pPr>
        <w:pStyle w:val="73220171"/>
      </w:pPr>
      <w:r>
        <w:lastRenderedPageBreak/>
        <w:t>Регрессионный анализ</w:t>
      </w:r>
    </w:p>
    <w:p w14:paraId="492C3AAD" w14:textId="0A0F6EBA" w:rsidR="00140A70" w:rsidRPr="00140A70" w:rsidRDefault="00140A70" w:rsidP="00140A70">
      <w:pPr>
        <w:pStyle w:val="73220172"/>
      </w:pPr>
      <w:r>
        <w:t>Построение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proofErr w:type="spellStart"/>
      <w:r w:rsidR="00EE286C" w:rsidRPr="00B53247">
        <w:rPr>
          <w:rFonts w:eastAsiaTheme="minorEastAsia"/>
          <w:lang w:eastAsia="ru-RU"/>
        </w:rPr>
        <w:t>Махаланобиса</w:t>
      </w:r>
      <w:proofErr w:type="spellEnd"/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 xml:space="preserve">It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a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multi-dimensional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generalization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idea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measuring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how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many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standard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deviations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away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P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from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proofErr w:type="spellStart"/>
      <w:r>
        <w:rPr>
          <w:rFonts w:eastAsiaTheme="minorEastAsia"/>
          <w:iCs/>
          <w:lang w:eastAsia="ru-RU"/>
        </w:rPr>
        <w:t>Махаланобиса</w:t>
      </w:r>
      <w:proofErr w:type="spellEnd"/>
      <w:r>
        <w:rPr>
          <w:rFonts w:eastAsiaTheme="minorEastAsia"/>
          <w:iCs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С помощью дисперсионного анализа убедиться, что однородность данных улучшилась? Возможно, это слишком и можно объяснить просто. Как? Качество </w:t>
      </w:r>
      <w:proofErr w:type="spellStart"/>
      <w:r>
        <w:rPr>
          <w:rFonts w:eastAsiaTheme="minorEastAsia"/>
          <w:lang w:eastAsia="ru-RU"/>
        </w:rPr>
        <w:t>регресии</w:t>
      </w:r>
      <w:proofErr w:type="spellEnd"/>
      <w:r>
        <w:rPr>
          <w:rFonts w:eastAsiaTheme="minorEastAsia"/>
          <w:lang w:eastAsia="ru-RU"/>
        </w:rPr>
        <w:t xml:space="preserve">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 xml:space="preserve">ногомерный тест на нормальность каждой </w:t>
      </w:r>
      <w:proofErr w:type="spellStart"/>
      <w:r w:rsidR="0078502B" w:rsidRPr="0077625B">
        <w:rPr>
          <w:highlight w:val="yellow"/>
          <w:lang w:eastAsia="ru-RU"/>
        </w:rPr>
        <w:t>подвыборки</w:t>
      </w:r>
      <w:proofErr w:type="spellEnd"/>
      <w:r w:rsidR="0078502B" w:rsidRPr="0077625B">
        <w:rPr>
          <w:highlight w:val="yellow"/>
          <w:lang w:eastAsia="ru-RU"/>
        </w:rPr>
        <w:t xml:space="preserve">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</w:t>
      </w:r>
      <w:proofErr w:type="spellStart"/>
      <w:r>
        <w:t>Махаланобиса</w:t>
      </w:r>
      <w:proofErr w:type="spellEnd"/>
      <w:r>
        <w:t xml:space="preserve"> </w:t>
      </w:r>
    </w:p>
    <w:p w14:paraId="5FF17069" w14:textId="3CA17381" w:rsidR="00140A70" w:rsidRDefault="0027472A" w:rsidP="00140A70">
      <w:pPr>
        <w:pStyle w:val="73220172"/>
        <w:rPr>
          <w:rFonts w:eastAsiaTheme="minorEastAsia"/>
        </w:rPr>
      </w:pPr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>свойств регресси</w:t>
      </w:r>
      <w:r w:rsidR="00140A70">
        <w:rPr>
          <w:rFonts w:eastAsiaTheme="minorEastAsia"/>
        </w:rPr>
        <w:t>й</w:t>
      </w:r>
    </w:p>
    <w:p w14:paraId="57BB818D" w14:textId="0B3ADFAF" w:rsidR="00CF262B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на наличие мультиколлинеарности, гетероскедастичности и авторегрессии. </w:t>
      </w:r>
      <w:r w:rsidR="00CF262B" w:rsidRPr="00CF262B">
        <w:rPr>
          <w:highlight w:val="red"/>
          <w:lang w:eastAsia="ru-RU"/>
        </w:rPr>
        <w:t>(а на нормальность?)</w:t>
      </w:r>
      <w:r w:rsidR="00CF262B">
        <w:rPr>
          <w:lang w:eastAsia="ru-RU"/>
        </w:rPr>
        <w:t xml:space="preserve"> Результаты сопутствующих тестов приведены в Таблице  </w:t>
      </w:r>
    </w:p>
    <w:p w14:paraId="6CA403E7" w14:textId="7ECFCB6E" w:rsidR="00BC65CC" w:rsidRDefault="00BC65CC" w:rsidP="00BC65CC">
      <w:pPr>
        <w:pStyle w:val="7322017c"/>
      </w:pPr>
      <w:r w:rsidRPr="00C8234A">
        <w:t>Таблица</w:t>
      </w:r>
      <w:r>
        <w:t xml:space="preserve"> 3 – Результаты тестов свойств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252"/>
        <w:gridCol w:w="1290"/>
        <w:gridCol w:w="1165"/>
        <w:gridCol w:w="1161"/>
        <w:gridCol w:w="1160"/>
        <w:gridCol w:w="1290"/>
        <w:gridCol w:w="1127"/>
      </w:tblGrid>
      <w:tr w:rsidR="00CF262B" w14:paraId="6E5AD6A4" w14:textId="77777777" w:rsidTr="00A403DC">
        <w:tc>
          <w:tcPr>
            <w:tcW w:w="1126" w:type="dxa"/>
          </w:tcPr>
          <w:p w14:paraId="0803815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  <w:tc>
          <w:tcPr>
            <w:tcW w:w="1252" w:type="dxa"/>
          </w:tcPr>
          <w:p w14:paraId="098656D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>
              <w:rPr>
                <w:rFonts w:eastAsiaTheme="minorEastAsia"/>
                <w:lang w:eastAsia="ru-RU"/>
              </w:rPr>
              <w:t>Номер кластера</w:t>
            </w:r>
          </w:p>
        </w:tc>
        <w:tc>
          <w:tcPr>
            <w:tcW w:w="1290" w:type="dxa"/>
          </w:tcPr>
          <w:p w14:paraId="01BDC388" w14:textId="77777777" w:rsidR="00CF262B" w:rsidRPr="003E09C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lang w:val="en-US"/>
              </w:rPr>
            </w:pPr>
            <w:r>
              <w:rPr>
                <w:rFonts w:eastAsiaTheme="minorEastAsia"/>
                <w:lang w:eastAsia="ru-RU"/>
              </w:rPr>
              <w:t xml:space="preserve">Тест Уайта, </w:t>
            </w:r>
            <w:r>
              <w:rPr>
                <w:rFonts w:eastAsiaTheme="minorEastAsia"/>
                <w:lang w:val="en-US" w:eastAsia="ru-RU"/>
              </w:rPr>
              <w:t>p-</w:t>
            </w:r>
            <w:r>
              <w:rPr>
                <w:rFonts w:eastAsiaTheme="minorEastAsia"/>
                <w:lang w:eastAsia="ru-RU"/>
              </w:rPr>
              <w:t>знач.</w:t>
            </w:r>
          </w:p>
        </w:tc>
        <w:tc>
          <w:tcPr>
            <w:tcW w:w="1165" w:type="dxa"/>
          </w:tcPr>
          <w:p w14:paraId="6802FAF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1161" w:type="dxa"/>
          </w:tcPr>
          <w:p w14:paraId="5561D4C8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1160" w:type="dxa"/>
          </w:tcPr>
          <w:p w14:paraId="252CD65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  <w:tc>
          <w:tcPr>
            <w:tcW w:w="1290" w:type="dxa"/>
          </w:tcPr>
          <w:p w14:paraId="4427D81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Тест </w:t>
            </w:r>
            <w:proofErr w:type="spellStart"/>
            <w:r>
              <w:rPr>
                <w:rFonts w:eastAsiaTheme="minorEastAsia"/>
                <w:lang w:eastAsia="ru-RU"/>
              </w:rPr>
              <w:t>Джарка</w:t>
            </w:r>
            <w:proofErr w:type="spellEnd"/>
            <w:r>
              <w:rPr>
                <w:rFonts w:eastAsiaTheme="minorEastAsia"/>
                <w:lang w:eastAsia="ru-RU"/>
              </w:rPr>
              <w:t>-Бера,</w:t>
            </w:r>
          </w:p>
          <w:p w14:paraId="4798E5CF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oMath>
            <w:r>
              <w:rPr>
                <w:rFonts w:eastAsiaTheme="minorEastAsia"/>
                <w:lang w:eastAsia="ru-RU"/>
              </w:rPr>
              <w:t>-знач.</w:t>
            </w:r>
          </w:p>
        </w:tc>
        <w:tc>
          <w:tcPr>
            <w:tcW w:w="1127" w:type="dxa"/>
          </w:tcPr>
          <w:p w14:paraId="4FB503A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</w:tr>
      <w:tr w:rsidR="00CF262B" w14:paraId="53F80A63" w14:textId="77777777" w:rsidTr="00A403DC">
        <w:tc>
          <w:tcPr>
            <w:tcW w:w="1126" w:type="dxa"/>
          </w:tcPr>
          <w:p w14:paraId="2DE946C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</w:t>
            </w:r>
          </w:p>
        </w:tc>
        <w:tc>
          <w:tcPr>
            <w:tcW w:w="1252" w:type="dxa"/>
          </w:tcPr>
          <w:p w14:paraId="694CAA56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90" w:type="dxa"/>
          </w:tcPr>
          <w:p w14:paraId="3D2F9CFA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24</w:t>
            </w:r>
          </w:p>
        </w:tc>
        <w:tc>
          <w:tcPr>
            <w:tcW w:w="1165" w:type="dxa"/>
          </w:tcPr>
          <w:p w14:paraId="66A606B3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0.0664</w:t>
            </w:r>
          </w:p>
        </w:tc>
        <w:tc>
          <w:tcPr>
            <w:tcW w:w="1161" w:type="dxa"/>
          </w:tcPr>
          <w:p w14:paraId="0A5BDFBE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1.6002</w:t>
            </w:r>
          </w:p>
        </w:tc>
        <w:tc>
          <w:tcPr>
            <w:tcW w:w="1160" w:type="dxa"/>
          </w:tcPr>
          <w:p w14:paraId="01A31FEB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1.1659</w:t>
            </w:r>
          </w:p>
        </w:tc>
        <w:tc>
          <w:tcPr>
            <w:tcW w:w="1290" w:type="dxa"/>
          </w:tcPr>
          <w:p w14:paraId="6A0C2E12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1.7519</w:t>
            </w:r>
          </w:p>
        </w:tc>
        <w:tc>
          <w:tcPr>
            <w:tcW w:w="1127" w:type="dxa"/>
          </w:tcPr>
          <w:p w14:paraId="70504F1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</w:tr>
      <w:tr w:rsidR="00CF262B" w14:paraId="793D7BF0" w14:textId="77777777" w:rsidTr="00A403DC">
        <w:tc>
          <w:tcPr>
            <w:tcW w:w="1126" w:type="dxa"/>
          </w:tcPr>
          <w:p w14:paraId="6DB365BB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52" w:type="dxa"/>
          </w:tcPr>
          <w:p w14:paraId="1652BB1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90" w:type="dxa"/>
          </w:tcPr>
          <w:p w14:paraId="7EE0E487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18</w:t>
            </w:r>
          </w:p>
        </w:tc>
        <w:tc>
          <w:tcPr>
            <w:tcW w:w="1165" w:type="dxa"/>
          </w:tcPr>
          <w:p w14:paraId="14AC1A90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0.1053</w:t>
            </w:r>
          </w:p>
        </w:tc>
        <w:tc>
          <w:tcPr>
            <w:tcW w:w="1161" w:type="dxa"/>
          </w:tcPr>
          <w:p w14:paraId="2983C22F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28.8948</w:t>
            </w:r>
          </w:p>
        </w:tc>
        <w:tc>
          <w:tcPr>
            <w:tcW w:w="1160" w:type="dxa"/>
          </w:tcPr>
          <w:p w14:paraId="3EBD3D92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28.8565</w:t>
            </w:r>
          </w:p>
        </w:tc>
        <w:tc>
          <w:tcPr>
            <w:tcW w:w="1290" w:type="dxa"/>
          </w:tcPr>
          <w:p w14:paraId="7CEFE23A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1.0253</w:t>
            </w:r>
          </w:p>
        </w:tc>
        <w:tc>
          <w:tcPr>
            <w:tcW w:w="1127" w:type="dxa"/>
          </w:tcPr>
          <w:p w14:paraId="19C6C342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</w:tr>
      <w:tr w:rsidR="00CF262B" w14:paraId="17FA1A1C" w14:textId="77777777" w:rsidTr="00A403DC">
        <w:tc>
          <w:tcPr>
            <w:tcW w:w="1126" w:type="dxa"/>
          </w:tcPr>
          <w:p w14:paraId="46C8928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52" w:type="dxa"/>
          </w:tcPr>
          <w:p w14:paraId="17AA5E6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4</w:t>
            </w:r>
          </w:p>
        </w:tc>
        <w:tc>
          <w:tcPr>
            <w:tcW w:w="1290" w:type="dxa"/>
          </w:tcPr>
          <w:p w14:paraId="7DF5281A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42</w:t>
            </w:r>
          </w:p>
        </w:tc>
        <w:tc>
          <w:tcPr>
            <w:tcW w:w="1165" w:type="dxa"/>
          </w:tcPr>
          <w:p w14:paraId="4110699A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0.0009</w:t>
            </w:r>
          </w:p>
        </w:tc>
        <w:tc>
          <w:tcPr>
            <w:tcW w:w="1161" w:type="dxa"/>
          </w:tcPr>
          <w:p w14:paraId="2DB0120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1.1772</w:t>
            </w:r>
          </w:p>
        </w:tc>
        <w:tc>
          <w:tcPr>
            <w:tcW w:w="1160" w:type="dxa"/>
          </w:tcPr>
          <w:p w14:paraId="56B0BBF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1.1957</w:t>
            </w:r>
          </w:p>
        </w:tc>
        <w:tc>
          <w:tcPr>
            <w:tcW w:w="1290" w:type="dxa"/>
          </w:tcPr>
          <w:p w14:paraId="55288EC8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1.0996</w:t>
            </w:r>
          </w:p>
        </w:tc>
        <w:tc>
          <w:tcPr>
            <w:tcW w:w="1127" w:type="dxa"/>
          </w:tcPr>
          <w:p w14:paraId="0FFA7F80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</w:tr>
      <w:tr w:rsidR="00CF262B" w14:paraId="6D9930F7" w14:textId="77777777" w:rsidTr="00A403DC">
        <w:tc>
          <w:tcPr>
            <w:tcW w:w="1126" w:type="dxa"/>
          </w:tcPr>
          <w:p w14:paraId="70C85805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52" w:type="dxa"/>
          </w:tcPr>
          <w:p w14:paraId="50E5AC5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90" w:type="dxa"/>
          </w:tcPr>
          <w:p w14:paraId="1610FDBE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24</w:t>
            </w:r>
          </w:p>
        </w:tc>
        <w:tc>
          <w:tcPr>
            <w:tcW w:w="1165" w:type="dxa"/>
          </w:tcPr>
          <w:p w14:paraId="24E312BB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0.0328</w:t>
            </w:r>
          </w:p>
        </w:tc>
        <w:tc>
          <w:tcPr>
            <w:tcW w:w="1161" w:type="dxa"/>
          </w:tcPr>
          <w:p w14:paraId="365245F5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1.1123</w:t>
            </w:r>
          </w:p>
        </w:tc>
        <w:tc>
          <w:tcPr>
            <w:tcW w:w="1160" w:type="dxa"/>
          </w:tcPr>
          <w:p w14:paraId="0D52A06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1.1415</w:t>
            </w:r>
          </w:p>
        </w:tc>
        <w:tc>
          <w:tcPr>
            <w:tcW w:w="1290" w:type="dxa"/>
          </w:tcPr>
          <w:p w14:paraId="35E10F9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1.0875</w:t>
            </w:r>
          </w:p>
        </w:tc>
        <w:tc>
          <w:tcPr>
            <w:tcW w:w="1127" w:type="dxa"/>
          </w:tcPr>
          <w:p w14:paraId="16203B8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</w:tr>
    </w:tbl>
    <w:p w14:paraId="14D344CF" w14:textId="77777777" w:rsidR="00CF262B" w:rsidRDefault="00CF262B" w:rsidP="0080676A">
      <w:pPr>
        <w:pStyle w:val="73220175"/>
        <w:rPr>
          <w:lang w:eastAsia="ru-RU"/>
        </w:rPr>
      </w:pPr>
    </w:p>
    <w:p w14:paraId="177010D6" w14:textId="6CA6D80E" w:rsidR="0080676A" w:rsidRDefault="00140A70" w:rsidP="0080676A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4.2</w:t>
      </w:r>
      <w:r w:rsidR="0080676A">
        <w:rPr>
          <w:lang w:eastAsia="ru-RU"/>
        </w:rPr>
        <w:t>.</w:t>
      </w:r>
      <w:r>
        <w:rPr>
          <w:lang w:eastAsia="ru-RU"/>
        </w:rPr>
        <w:t>2</w:t>
      </w:r>
      <w:r w:rsidR="0080676A">
        <w:rPr>
          <w:lang w:eastAsia="ru-RU"/>
        </w:rPr>
        <w:t xml:space="preserve"> Мультиколлинеарность выявлялась с помощью </w:t>
      </w:r>
      <w:r w:rsidR="0080676A">
        <w:rPr>
          <w:rFonts w:eastAsiaTheme="minorEastAsia"/>
          <w:lang w:eastAsia="ru-RU"/>
        </w:rPr>
        <w:t>коэффициента</w:t>
      </w:r>
      <w:r w:rsidR="0080676A" w:rsidRPr="0080676A">
        <w:rPr>
          <w:rFonts w:eastAsiaTheme="minorEastAsia"/>
          <w:lang w:eastAsia="ru-RU"/>
        </w:rPr>
        <w:t xml:space="preserve"> </w:t>
      </w:r>
      <w:r w:rsidR="0080676A">
        <w:rPr>
          <w:rFonts w:eastAsiaTheme="minorEastAsia"/>
          <w:lang w:eastAsia="ru-RU"/>
        </w:rPr>
        <w:t xml:space="preserve">инфляции дисперсии </w:t>
      </w:r>
      <m:oMath>
        <m:r>
          <w:rPr>
            <w:rFonts w:ascii="Cambria Math" w:eastAsiaTheme="minorEastAsia" w:hAnsi="Cambria Math"/>
            <w:lang w:eastAsia="ru-RU"/>
          </w:rPr>
          <m:t>VIF</m:t>
        </m:r>
      </m:oMath>
      <w:r w:rsidR="0080676A">
        <w:rPr>
          <w:rFonts w:eastAsiaTheme="minorEastAsia"/>
          <w:lang w:eastAsia="ru-RU"/>
        </w:rPr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552CA671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>коэффициента лежат в интервале от 1 до бесконечности, причем значения, лежащие близко к 1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651FBB8" w:rsidR="00822970" w:rsidRPr="00F8002C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771F844C" w14:textId="0ABDA943" w:rsidR="00F8002C" w:rsidRPr="00F8002C" w:rsidRDefault="00F8002C" w:rsidP="00140A70">
      <w:pPr>
        <w:pStyle w:val="73220175"/>
        <w:ind w:firstLine="708"/>
        <w:rPr>
          <w:iCs/>
          <w:lang w:eastAsia="ru-RU"/>
        </w:rPr>
      </w:pPr>
      <w:r w:rsidRPr="00F8002C">
        <w:rPr>
          <w:rFonts w:eastAsiaTheme="minorEastAsia"/>
          <w:iCs/>
          <w:highlight w:val="yellow"/>
          <w:lang w:eastAsia="ru-RU"/>
        </w:rPr>
        <w:t xml:space="preserve">2. Скопировать </w:t>
      </w:r>
      <w:proofErr w:type="spellStart"/>
      <w:r w:rsidRPr="00F8002C">
        <w:rPr>
          <w:rFonts w:eastAsiaTheme="minorEastAsia"/>
          <w:iCs/>
          <w:highlight w:val="yellow"/>
          <w:lang w:val="en-US" w:eastAsia="ru-RU"/>
        </w:rPr>
        <w:t>statsmodels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>.</w:t>
      </w:r>
      <w:r w:rsidRPr="00F8002C">
        <w:rPr>
          <w:rFonts w:eastAsiaTheme="minorEastAsia"/>
          <w:iCs/>
          <w:highlight w:val="yellow"/>
          <w:lang w:val="en-US" w:eastAsia="ru-RU"/>
        </w:rPr>
        <w:t>OLS</w:t>
      </w:r>
      <w:r w:rsidRPr="00F8002C">
        <w:rPr>
          <w:rFonts w:eastAsiaTheme="minorEastAsia"/>
          <w:iCs/>
          <w:highlight w:val="yellow"/>
          <w:lang w:eastAsia="ru-RU"/>
        </w:rPr>
        <w:t xml:space="preserve"> изменить </w:t>
      </w:r>
      <w:proofErr w:type="spellStart"/>
      <w:r w:rsidRPr="00F8002C">
        <w:rPr>
          <w:rFonts w:eastAsiaTheme="minorEastAsia"/>
          <w:iCs/>
          <w:highlight w:val="yellow"/>
          <w:lang w:eastAsia="ru-RU"/>
        </w:rPr>
        <w:t>эстиматор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 xml:space="preserve"> на гребневую</w:t>
      </w:r>
    </w:p>
    <w:p w14:paraId="5E30D730" w14:textId="3F6F3C71" w:rsidR="0027472A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4.2.3 </w:t>
      </w:r>
      <w:r w:rsidR="0027472A">
        <w:rPr>
          <w:rFonts w:eastAsiaTheme="minorEastAsia"/>
          <w:lang w:eastAsia="ru-RU"/>
        </w:rPr>
        <w:t>Гетероскедастичность</w:t>
      </w:r>
      <w:r>
        <w:rPr>
          <w:rFonts w:eastAsiaTheme="minorEastAsia"/>
          <w:lang w:eastAsia="ru-RU"/>
        </w:rPr>
        <w:t xml:space="preserve"> построенных моделей проверялась с помощью теста Уайта, в котором предполагается, что дисперсии ошибок </w:t>
      </w:r>
      <w:r>
        <w:rPr>
          <w:rFonts w:eastAsiaTheme="minorEastAsia"/>
          <w:lang w:eastAsia="ru-RU"/>
        </w:rPr>
        <w:lastRenderedPageBreak/>
        <w:t>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57D24B53" w:rsidR="00140A70" w:rsidRP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7199F">
        <w:rPr>
          <w:rFonts w:eastAsiaTheme="minorEastAsia"/>
          <w:iCs/>
          <w:highlight w:val="yellow"/>
          <w:lang w:eastAsia="ru-RU"/>
        </w:rPr>
        <w:t>Тогда проверяемая гипотеза об отсутствии гетероскедастичности есть</w:t>
      </w:r>
      <w:r w:rsidR="00641C52" w:rsidRPr="00A7199F">
        <w:rPr>
          <w:rFonts w:eastAsiaTheme="minorEastAsia"/>
          <w:iCs/>
          <w:highlight w:val="yellow"/>
          <w:lang w:eastAsia="ru-RU"/>
        </w:rPr>
        <w:t xml:space="preserve"> то же самое что и</w:t>
      </w:r>
      <w:r w:rsidRPr="00A7199F">
        <w:rPr>
          <w:rFonts w:eastAsiaTheme="minorEastAsia"/>
          <w:iCs/>
          <w:highlight w:val="yellow"/>
          <w:lang w:eastAsia="ru-RU"/>
        </w:rPr>
        <w:t xml:space="preserve"> гипотеза о значимости этого уравнения регрессии и проверяется по</w:t>
      </w:r>
      <w:r w:rsidR="00A7199F" w:rsidRPr="00A7199F">
        <w:rPr>
          <w:rFonts w:eastAsiaTheme="minorEastAsia"/>
          <w:iCs/>
          <w:highlight w:val="yellow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LM</m:t>
        </m:r>
      </m:oMath>
      <w:r w:rsidR="00A7199F" w:rsidRPr="00A7199F">
        <w:rPr>
          <w:rFonts w:eastAsiaTheme="minorEastAsia"/>
          <w:iCs/>
          <w:highlight w:val="yellow"/>
          <w:lang w:eastAsia="ru-RU"/>
        </w:rPr>
        <w:t>-статистике</w:t>
      </w:r>
      <w:r w:rsidRPr="00A7199F">
        <w:rPr>
          <w:rFonts w:eastAsiaTheme="minorEastAsia"/>
          <w:iCs/>
          <w:highlight w:val="yellow"/>
          <w:lang w:eastAsia="ru-RU"/>
        </w:rPr>
        <w:t xml:space="preserve">. При этом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highlight w:val="yellow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highlight w:val="yellow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i</m:t>
                </m:r>
              </m:sub>
            </m:sSub>
          </m:e>
        </m:d>
      </m:oMath>
      <w:r w:rsidRPr="00A7199F">
        <w:rPr>
          <w:rFonts w:eastAsiaTheme="minorEastAsia"/>
          <w:iCs/>
          <w:highlight w:val="yellow"/>
          <w:lang w:eastAsia="ru-RU"/>
        </w:rPr>
        <w:t xml:space="preserve"> включает все регрессоры, их квадраты и все их попарные произведения.</w:t>
      </w:r>
    </w:p>
    <w:p w14:paraId="761523E7" w14:textId="72544AC5" w:rsidR="00140A70" w:rsidRPr="00A7199F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 xml:space="preserve">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FD2DFC"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 5%.</w:t>
      </w:r>
    </w:p>
    <w:p w14:paraId="6549131D" w14:textId="77777777" w:rsidR="006423B5" w:rsidRPr="006423B5" w:rsidRDefault="006423B5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p w14:paraId="749BAB50" w14:textId="45ED8E3F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Автокорреляция</w:t>
      </w:r>
    </w:p>
    <w:p w14:paraId="1523C832" w14:textId="77777777" w:rsidR="003E09CB" w:rsidRPr="003E09CB" w:rsidRDefault="003E09CB" w:rsidP="003E09CB">
      <w:pPr>
        <w:pStyle w:val="73220175"/>
        <w:tabs>
          <w:tab w:val="left" w:pos="2415"/>
        </w:tabs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5A59AA58" w:rsidR="00312A65" w:rsidRPr="00312A65" w:rsidRDefault="00312A65" w:rsidP="00312A65">
      <w:pPr>
        <w:pStyle w:val="73220175"/>
        <w:numPr>
          <w:ilvl w:val="0"/>
          <w:numId w:val="41"/>
        </w:numPr>
        <w:rPr>
          <w:lang w:eastAsia="ru-RU"/>
        </w:rPr>
      </w:pPr>
      <w:r w:rsidRPr="00312A65">
        <w:rPr>
          <w:lang w:eastAsia="ru-RU"/>
        </w:rPr>
        <w:t>https://stackoverflow.com/questions/46827580/multivariate-outlier-removal-with-mahalanobis-distance</w:t>
      </w:r>
    </w:p>
    <w:sectPr w:rsidR="00312A6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50A7" w14:textId="77777777" w:rsidR="00196501" w:rsidRDefault="00196501" w:rsidP="0027472A">
      <w:pPr>
        <w:spacing w:line="240" w:lineRule="auto"/>
      </w:pPr>
      <w:r>
        <w:separator/>
      </w:r>
    </w:p>
  </w:endnote>
  <w:endnote w:type="continuationSeparator" w:id="0">
    <w:p w14:paraId="66111A62" w14:textId="77777777" w:rsidR="00196501" w:rsidRDefault="00196501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08F5" w14:textId="77777777" w:rsidR="00196501" w:rsidRDefault="00196501" w:rsidP="0027472A">
      <w:pPr>
        <w:spacing w:line="240" w:lineRule="auto"/>
      </w:pPr>
      <w:r>
        <w:separator/>
      </w:r>
    </w:p>
  </w:footnote>
  <w:footnote w:type="continuationSeparator" w:id="0">
    <w:p w14:paraId="75453703" w14:textId="77777777" w:rsidR="00196501" w:rsidRDefault="00196501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52F28A2C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0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1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93287"/>
    <w:rsid w:val="000A29E1"/>
    <w:rsid w:val="000C54EA"/>
    <w:rsid w:val="000D082A"/>
    <w:rsid w:val="000D788C"/>
    <w:rsid w:val="000E193D"/>
    <w:rsid w:val="00122B1C"/>
    <w:rsid w:val="00140A70"/>
    <w:rsid w:val="00152765"/>
    <w:rsid w:val="00172EFB"/>
    <w:rsid w:val="00190AA1"/>
    <w:rsid w:val="00196501"/>
    <w:rsid w:val="001A6E7F"/>
    <w:rsid w:val="001B3645"/>
    <w:rsid w:val="001C73A4"/>
    <w:rsid w:val="001D08F6"/>
    <w:rsid w:val="001D0D94"/>
    <w:rsid w:val="001F2483"/>
    <w:rsid w:val="001F6092"/>
    <w:rsid w:val="00223579"/>
    <w:rsid w:val="00232D80"/>
    <w:rsid w:val="00236870"/>
    <w:rsid w:val="00246A6E"/>
    <w:rsid w:val="00253EB6"/>
    <w:rsid w:val="0027472A"/>
    <w:rsid w:val="00286A79"/>
    <w:rsid w:val="00294808"/>
    <w:rsid w:val="002B23C2"/>
    <w:rsid w:val="002C236A"/>
    <w:rsid w:val="002F1D01"/>
    <w:rsid w:val="002F4814"/>
    <w:rsid w:val="00311CA8"/>
    <w:rsid w:val="0031204D"/>
    <w:rsid w:val="00312A65"/>
    <w:rsid w:val="00325CDF"/>
    <w:rsid w:val="003276FD"/>
    <w:rsid w:val="00333F67"/>
    <w:rsid w:val="00341D81"/>
    <w:rsid w:val="00366F3B"/>
    <w:rsid w:val="003908B1"/>
    <w:rsid w:val="003B20D2"/>
    <w:rsid w:val="003B78D8"/>
    <w:rsid w:val="003D4D00"/>
    <w:rsid w:val="003D60FA"/>
    <w:rsid w:val="003E09CB"/>
    <w:rsid w:val="00405021"/>
    <w:rsid w:val="004135E5"/>
    <w:rsid w:val="004250E5"/>
    <w:rsid w:val="004408D8"/>
    <w:rsid w:val="00445CEF"/>
    <w:rsid w:val="00455B55"/>
    <w:rsid w:val="00474C27"/>
    <w:rsid w:val="00491168"/>
    <w:rsid w:val="004B4A84"/>
    <w:rsid w:val="004C00DE"/>
    <w:rsid w:val="004C182E"/>
    <w:rsid w:val="004E4533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C14B9"/>
    <w:rsid w:val="005C2CD1"/>
    <w:rsid w:val="005E1469"/>
    <w:rsid w:val="005E3EE3"/>
    <w:rsid w:val="00641C52"/>
    <w:rsid w:val="006421A3"/>
    <w:rsid w:val="006423B5"/>
    <w:rsid w:val="00645920"/>
    <w:rsid w:val="006618B7"/>
    <w:rsid w:val="006621A2"/>
    <w:rsid w:val="00664CDC"/>
    <w:rsid w:val="0066535E"/>
    <w:rsid w:val="00674C88"/>
    <w:rsid w:val="006A3E2A"/>
    <w:rsid w:val="006C0170"/>
    <w:rsid w:val="006C2E65"/>
    <w:rsid w:val="006D2965"/>
    <w:rsid w:val="006D42AC"/>
    <w:rsid w:val="006E27BB"/>
    <w:rsid w:val="006E7167"/>
    <w:rsid w:val="006F1A68"/>
    <w:rsid w:val="006F4182"/>
    <w:rsid w:val="00710415"/>
    <w:rsid w:val="00722BA3"/>
    <w:rsid w:val="00723F82"/>
    <w:rsid w:val="00730D5E"/>
    <w:rsid w:val="00732DC4"/>
    <w:rsid w:val="00743B65"/>
    <w:rsid w:val="0074679A"/>
    <w:rsid w:val="007551DA"/>
    <w:rsid w:val="00757037"/>
    <w:rsid w:val="00762A53"/>
    <w:rsid w:val="00773865"/>
    <w:rsid w:val="0077625B"/>
    <w:rsid w:val="0078502B"/>
    <w:rsid w:val="00791F82"/>
    <w:rsid w:val="007A6FE0"/>
    <w:rsid w:val="007B0088"/>
    <w:rsid w:val="007B1643"/>
    <w:rsid w:val="007B4DF2"/>
    <w:rsid w:val="007C15EA"/>
    <w:rsid w:val="007C371F"/>
    <w:rsid w:val="007D078B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63169"/>
    <w:rsid w:val="00863BF8"/>
    <w:rsid w:val="0088026A"/>
    <w:rsid w:val="00884C0D"/>
    <w:rsid w:val="008A5E29"/>
    <w:rsid w:val="008B0102"/>
    <w:rsid w:val="008C3BA2"/>
    <w:rsid w:val="008C465B"/>
    <w:rsid w:val="008F2E3E"/>
    <w:rsid w:val="0090058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A4EAD"/>
    <w:rsid w:val="009A5E23"/>
    <w:rsid w:val="009C04CE"/>
    <w:rsid w:val="009C500B"/>
    <w:rsid w:val="009D1F5B"/>
    <w:rsid w:val="009D20D5"/>
    <w:rsid w:val="009D39A5"/>
    <w:rsid w:val="009D49D9"/>
    <w:rsid w:val="00A073E6"/>
    <w:rsid w:val="00A431D8"/>
    <w:rsid w:val="00A54F5D"/>
    <w:rsid w:val="00A61363"/>
    <w:rsid w:val="00A67991"/>
    <w:rsid w:val="00A70720"/>
    <w:rsid w:val="00A7199F"/>
    <w:rsid w:val="00A805B8"/>
    <w:rsid w:val="00A87326"/>
    <w:rsid w:val="00AC48F6"/>
    <w:rsid w:val="00AD411B"/>
    <w:rsid w:val="00AD4613"/>
    <w:rsid w:val="00AE291E"/>
    <w:rsid w:val="00AF2BAC"/>
    <w:rsid w:val="00AF431E"/>
    <w:rsid w:val="00B0222F"/>
    <w:rsid w:val="00B13538"/>
    <w:rsid w:val="00B14763"/>
    <w:rsid w:val="00B24284"/>
    <w:rsid w:val="00B53247"/>
    <w:rsid w:val="00B6702F"/>
    <w:rsid w:val="00B77D2F"/>
    <w:rsid w:val="00B85B42"/>
    <w:rsid w:val="00B918B5"/>
    <w:rsid w:val="00B91C12"/>
    <w:rsid w:val="00B921B1"/>
    <w:rsid w:val="00B943CF"/>
    <w:rsid w:val="00BA4D62"/>
    <w:rsid w:val="00BC13EF"/>
    <w:rsid w:val="00BC65CC"/>
    <w:rsid w:val="00BD02BD"/>
    <w:rsid w:val="00BF37A5"/>
    <w:rsid w:val="00BF39F4"/>
    <w:rsid w:val="00C32645"/>
    <w:rsid w:val="00C3447D"/>
    <w:rsid w:val="00C5013B"/>
    <w:rsid w:val="00C55B45"/>
    <w:rsid w:val="00C577BB"/>
    <w:rsid w:val="00C630D6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6A9C"/>
    <w:rsid w:val="00CC0A26"/>
    <w:rsid w:val="00CD3E07"/>
    <w:rsid w:val="00CE36BE"/>
    <w:rsid w:val="00CF262B"/>
    <w:rsid w:val="00D36578"/>
    <w:rsid w:val="00D50854"/>
    <w:rsid w:val="00D60CDD"/>
    <w:rsid w:val="00D72418"/>
    <w:rsid w:val="00D91FD3"/>
    <w:rsid w:val="00D92813"/>
    <w:rsid w:val="00DA29F4"/>
    <w:rsid w:val="00DB248A"/>
    <w:rsid w:val="00E05F81"/>
    <w:rsid w:val="00E10061"/>
    <w:rsid w:val="00E13D33"/>
    <w:rsid w:val="00E36185"/>
    <w:rsid w:val="00E36E38"/>
    <w:rsid w:val="00E427D5"/>
    <w:rsid w:val="00E7504C"/>
    <w:rsid w:val="00E8378C"/>
    <w:rsid w:val="00EA6577"/>
    <w:rsid w:val="00ED0E5D"/>
    <w:rsid w:val="00ED7D25"/>
    <w:rsid w:val="00ED7EFF"/>
    <w:rsid w:val="00EE2768"/>
    <w:rsid w:val="00EE286C"/>
    <w:rsid w:val="00EF4540"/>
    <w:rsid w:val="00F03614"/>
    <w:rsid w:val="00F15EC8"/>
    <w:rsid w:val="00F24C04"/>
    <w:rsid w:val="00F363B7"/>
    <w:rsid w:val="00F628F7"/>
    <w:rsid w:val="00F8002C"/>
    <w:rsid w:val="00F831BD"/>
    <w:rsid w:val="00F8541B"/>
    <w:rsid w:val="00F8694D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">
    <w:name w:val="Подзаголовок раздела ГОСТ 7.32"/>
    <w:next w:val="a0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0">
    <w:name w:val="Подзаголовок раздела ГОСТ 7.32 Знак"/>
    <w:basedOn w:val="a1"/>
    <w:link w:val="732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16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a0"/>
    <w:next w:val="a0"/>
    <w:uiPriority w:val="39"/>
    <w:unhideWhenUsed/>
    <w:qFormat/>
    <w:rsid w:val="0088026A"/>
    <w:pPr>
      <w:spacing w:after="100"/>
      <w:ind w:left="0" w:firstLine="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link w:val="7322017f2"/>
    <w:qFormat/>
    <w:rsid w:val="00AF2BAC"/>
    <w:pPr>
      <w:numPr>
        <w:ilvl w:val="2"/>
      </w:numPr>
    </w:pPr>
  </w:style>
  <w:style w:type="character" w:customStyle="1" w:styleId="7322017f2">
    <w:name w:val="Пункт ГОСТ 7.32 2017 Знак"/>
    <w:basedOn w:val="73220178"/>
    <w:link w:val="73220173"/>
    <w:rsid w:val="00AF2BAC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7947</TotalTime>
  <Pages>11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17</cp:revision>
  <dcterms:created xsi:type="dcterms:W3CDTF">2023-12-16T12:53:00Z</dcterms:created>
  <dcterms:modified xsi:type="dcterms:W3CDTF">2024-03-12T06:49:00Z</dcterms:modified>
</cp:coreProperties>
</file>