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Explication sur le UseCase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Les acteurs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Joueur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Représente la personne qui joue à l’application CandyCrush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Les services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Démarrer une partie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 joueur peut commencer une partie.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Quitter le jeu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Permet au joueur de quitter l’application.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Sauvegarder une partie 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 joueur peut mettre en mémoire l’instance de la partie en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cours de jeu.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Nécessite d’être dans une partie pour effectuer cette action.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Déplacer les bonbons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 joueur peut effectuer le déplacement des bonbons de la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          grille de jeu.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Nécessite d’être dans une partie pour effectuer cette action.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Gérer les options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Le joueur peut modifier les paramètres d’affichage, de taille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d’écran, de 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