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Explication sur le Diagramme de classe enrichi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Les patterns  choisis: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Pattern Factory</w:t>
      </w:r>
      <w:r w:rsidDel="00000000" w:rsidR="00000000" w:rsidRPr="00000000">
        <w:rPr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Délègue la création d’objet similaire à l’usine.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Dans notre cas cela concerne la création des instances de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la classe Bonbon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Pattern Observer 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Permet de notifier </w:t>
      </w:r>
      <w:r w:rsidDel="00000000" w:rsidR="00000000" w:rsidRPr="00000000">
        <w:rPr>
          <w:sz w:val="28"/>
          <w:szCs w:val="28"/>
          <w:rtl w:val="0"/>
        </w:rPr>
        <w:t xml:space="preserve">tous les objets qui sont en lien avec un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objet qui change.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Dans notre cas cela concerne le score qui change et doit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notifier toutes les classes qui l’utilisent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Joueur :  pour affecter son score total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-</w:t>
        <w:tab/>
        <w:t xml:space="preserve">Partie :  qui indique en temps réelle le score de la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partie en cours.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