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DM GOVY Report — mom_score: Momentum Signal Methodology</w:t>
      </w:r>
    </w:p>
    <w:p>
      <w:pPr>
        <w:pStyle w:val="Heading1"/>
      </w:pPr>
      <w:r>
        <w:t>1. What is mom_score?</w:t>
      </w:r>
    </w:p>
    <w:p>
      <w:r>
        <w:rPr>
          <w:b w:val="0"/>
          <w:i w:val="0"/>
        </w:rPr>
        <w:t>mom_score is a multi-horizon trend alignment score shown on the DM Government Bond summary pages of the daily DM_GOVY report. It answers one question: is the recent move in a bond’s yield a confirmed trend or noise?</w:t>
      </w:r>
    </w:p>
    <w:p>
      <w:r>
        <w:rPr>
          <w:b w:val="0"/>
          <w:i w:val="0"/>
        </w:rPr>
        <w:t>For each of the 36 DM government bonds (US, France, Germany, Spain, Japan, UK across 2Y/5Y/7Y/10Y/20Y/30Y), the score measures whether yields have been moving in the same direction across three horizons: 1 week, 1 month, and 3 months.</w:t>
      </w:r>
    </w:p>
    <w:p>
      <w:pPr>
        <w:pStyle w:val="Heading1"/>
      </w:pPr>
      <w:r>
        <w:t>2. Method</w:t>
      </w:r>
    </w:p>
    <w:p>
      <w:r>
        <w:rPr>
          <w:b w:val="0"/>
          <w:i w:val="0"/>
        </w:rPr>
        <w:t>For each bond, take the yield changes over three horizons and count how many of them are falling vs rising:</w:t>
      </w:r>
    </w:p>
    <w:p>
      <w:r>
        <w:rPr>
          <w:rFonts w:ascii="Consolas" w:hAnsi="Consolas"/>
          <w:color w:val="1F3B66"/>
          <w:sz w:val="20"/>
        </w:rPr>
        <w:t>mom_score = -( sign(chg_1w) + sign(chg_1m) + sign(chg_3m) )</w:t>
      </w:r>
    </w:p>
    <w:p>
      <w:r>
        <w:rPr>
          <w:b w:val="0"/>
          <w:i w:val="0"/>
        </w:rPr>
        <w:t>where sign() returns +1 if the yield went up, -1 if it went down, and 0 if unchanged. The leading minus flips the sign so the score reads from a bondholder’s perspective: falling yields (a bond rally) score positive.</w:t>
      </w:r>
    </w:p>
    <w:p>
      <w:r>
        <w:rPr>
          <w:b/>
          <w:i w:val="0"/>
        </w:rPr>
        <w:t>Each horizon contributes ±1, so the score ranges from -3 to +3: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Score</w:t>
            </w:r>
          </w:p>
        </w:tc>
        <w:tc>
          <w:tcPr>
            <w:tcW w:type="dxa" w:w="4320"/>
          </w:tcPr>
          <w:p>
            <w:r>
              <w:t>Meaning</w:t>
            </w:r>
          </w:p>
        </w:tc>
      </w:tr>
      <w:tr>
        <w:tc>
          <w:tcPr>
            <w:tcW w:type="dxa" w:w="4320"/>
          </w:tcPr>
          <w:p>
            <w:r>
              <w:t>+3</w:t>
            </w:r>
          </w:p>
        </w:tc>
        <w:tc>
          <w:tcPr>
            <w:tcW w:type="dxa" w:w="4320"/>
          </w:tcPr>
          <w:p>
            <w:r>
              <w:t>Yields fell over 1w, 1m AND 3m → strong, consistent bullish momentum (bond rally)</w:t>
            </w:r>
          </w:p>
        </w:tc>
      </w:tr>
      <w:tr>
        <w:tc>
          <w:tcPr>
            <w:tcW w:type="dxa" w:w="4320"/>
          </w:tcPr>
          <w:p>
            <w:r>
              <w:t>+1</w:t>
            </w:r>
          </w:p>
        </w:tc>
        <w:tc>
          <w:tcPr>
            <w:tcW w:type="dxa" w:w="4320"/>
          </w:tcPr>
          <w:p>
            <w:r>
              <w:t>2 of 3 horizons falling → mildly bullish</w:t>
            </w:r>
          </w:p>
        </w:tc>
      </w:tr>
      <w:tr>
        <w:tc>
          <w:tcPr>
            <w:tcW w:type="dxa" w:w="4320"/>
          </w:tcPr>
          <w:p>
            <w:r>
              <w:t>0</w:t>
            </w:r>
          </w:p>
        </w:tc>
        <w:tc>
          <w:tcPr>
            <w:tcW w:type="dxa" w:w="4320"/>
          </w:tcPr>
          <w:p>
            <w:r>
              <w:t>Mixed / flat → no clear trend</w:t>
            </w:r>
          </w:p>
        </w:tc>
      </w:tr>
      <w:tr>
        <w:tc>
          <w:tcPr>
            <w:tcW w:type="dxa" w:w="4320"/>
          </w:tcPr>
          <w:p>
            <w:r>
              <w:t>-1</w:t>
            </w:r>
          </w:p>
        </w:tc>
        <w:tc>
          <w:tcPr>
            <w:tcW w:type="dxa" w:w="4320"/>
          </w:tcPr>
          <w:p>
            <w:r>
              <w:t>2 of 3 horizons rising → mildly bearish</w:t>
            </w:r>
          </w:p>
        </w:tc>
      </w:tr>
      <w:tr>
        <w:tc>
          <w:tcPr>
            <w:tcW w:type="dxa" w:w="4320"/>
          </w:tcPr>
          <w:p>
            <w:r>
              <w:t>-3</w:t>
            </w:r>
          </w:p>
        </w:tc>
        <w:tc>
          <w:tcPr>
            <w:tcW w:type="dxa" w:w="4320"/>
          </w:tcPr>
          <w:p>
            <w:r>
              <w:t>Yields rose over all three horizons → strong, consistent bearish momentum (bond selloff)</w:t>
            </w:r>
          </w:p>
        </w:tc>
      </w:tr>
    </w:tbl>
    <w:p/>
    <w:p>
      <w:pPr>
        <w:pStyle w:val="Heading1"/>
      </w:pPr>
      <w:r>
        <w:t>3. Companion column: mom_dir</w:t>
      </w:r>
    </w:p>
    <w:p>
      <w:r>
        <w:rPr>
          <w:b w:val="0"/>
          <w:i w:val="0"/>
        </w:rPr>
        <w:t>mom_dir translates the score into a plain-language label:</w:t>
      </w:r>
    </w:p>
    <w:p>
      <w:pPr>
        <w:pStyle w:val="ListBullet"/>
      </w:pPr>
      <w:r>
        <w:t>Bear / Bull — score is ±3: all horizons agree (clean, confirmed trend)</w:t>
      </w:r>
    </w:p>
    <w:p>
      <w:pPr>
        <w:pStyle w:val="ListBullet"/>
      </w:pPr>
      <w:r>
        <w:t>Bearish / Bullish — score is ±1: partial agreement (trend with some divergence)</w:t>
      </w:r>
    </w:p>
    <w:p>
      <w:pPr>
        <w:pStyle w:val="ListBullet"/>
      </w:pPr>
      <w:r>
        <w:t>Mixed — score 0, or insufficient history</w:t>
      </w:r>
    </w:p>
    <w:p>
      <w:pPr>
        <w:pStyle w:val="Heading1"/>
      </w:pPr>
      <w:r>
        <w:t>4. Worked examples (2026-09-07 data)</w:t>
      </w:r>
    </w:p>
    <w:p>
      <w:r>
        <w:rPr>
          <w:b/>
          <w:i w:val="0"/>
        </w:rPr>
        <w:t>Example 1 — us_10y (score -3, "Bear")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Horizon</w:t>
            </w:r>
          </w:p>
        </w:tc>
        <w:tc>
          <w:tcPr>
            <w:tcW w:type="dxa" w:w="2880"/>
          </w:tcPr>
          <w:p>
            <w:r>
              <w:t>Change</w:t>
            </w:r>
          </w:p>
        </w:tc>
        <w:tc>
          <w:tcPr>
            <w:tcW w:type="dxa" w:w="2880"/>
          </w:tcPr>
          <w:p>
            <w:r>
              <w:t>sign</w:t>
            </w:r>
          </w:p>
        </w:tc>
      </w:tr>
      <w:tr>
        <w:tc>
          <w:tcPr>
            <w:tcW w:type="dxa" w:w="2880"/>
          </w:tcPr>
          <w:p>
            <w:r>
              <w:t>1w</w:t>
            </w:r>
          </w:p>
        </w:tc>
        <w:tc>
          <w:tcPr>
            <w:tcW w:type="dxa" w:w="2880"/>
          </w:tcPr>
          <w:p>
            <w:r>
              <w:t>+3.2 bps</w:t>
            </w:r>
          </w:p>
        </w:tc>
        <w:tc>
          <w:tcPr>
            <w:tcW w:type="dxa" w:w="2880"/>
          </w:tcPr>
          <w:p>
            <w:r>
              <w:t>+1</w:t>
            </w:r>
          </w:p>
        </w:tc>
      </w:tr>
      <w:tr>
        <w:tc>
          <w:tcPr>
            <w:tcW w:type="dxa" w:w="2880"/>
          </w:tcPr>
          <w:p>
            <w:r>
              <w:t>1m</w:t>
            </w:r>
          </w:p>
        </w:tc>
        <w:tc>
          <w:tcPr>
            <w:tcW w:type="dxa" w:w="2880"/>
          </w:tcPr>
          <w:p>
            <w:r>
              <w:t>+13.7 bps</w:t>
            </w:r>
          </w:p>
        </w:tc>
        <w:tc>
          <w:tcPr>
            <w:tcW w:type="dxa" w:w="2880"/>
          </w:tcPr>
          <w:p>
            <w:r>
              <w:t>+1</w:t>
            </w:r>
          </w:p>
        </w:tc>
      </w:tr>
      <w:tr>
        <w:tc>
          <w:tcPr>
            <w:tcW w:type="dxa" w:w="2880"/>
          </w:tcPr>
          <w:p>
            <w:r>
              <w:t>3m</w:t>
            </w:r>
          </w:p>
        </w:tc>
        <w:tc>
          <w:tcPr>
            <w:tcW w:type="dxa" w:w="2880"/>
          </w:tcPr>
          <w:p>
            <w:r>
              <w:t>+23.0 bps</w:t>
            </w:r>
          </w:p>
        </w:tc>
        <w:tc>
          <w:tcPr>
            <w:tcW w:type="dxa" w:w="2880"/>
          </w:tcPr>
          <w:p>
            <w:r>
              <w:t>+1</w:t>
            </w:r>
          </w:p>
        </w:tc>
      </w:tr>
    </w:tbl>
    <w:p/>
    <w:p>
      <w:r>
        <w:rPr>
          <w:rFonts w:ascii="Consolas" w:hAnsi="Consolas"/>
          <w:color w:val="1F3B66"/>
          <w:sz w:val="20"/>
        </w:rPr>
        <w:t>mom_score = -(+1 + 1 + 1) = -3  → Bear</w:t>
      </w:r>
    </w:p>
    <w:p>
      <w:r>
        <w:rPr>
          <w:b w:val="0"/>
          <w:i w:val="0"/>
        </w:rPr>
        <w:t>Treasuries sold off consistently at every horizon — a confirmed trend, not a one-day wobble.</w:t>
      </w:r>
    </w:p>
    <w:p/>
    <w:p>
      <w:r>
        <w:rPr>
          <w:b/>
          <w:i w:val="0"/>
        </w:rPr>
        <w:t>Example 2 — jpy_30y (score -1, "Bearish")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Horizon</w:t>
            </w:r>
          </w:p>
        </w:tc>
        <w:tc>
          <w:tcPr>
            <w:tcW w:type="dxa" w:w="2880"/>
          </w:tcPr>
          <w:p>
            <w:r>
              <w:t>Change</w:t>
            </w:r>
          </w:p>
        </w:tc>
        <w:tc>
          <w:tcPr>
            <w:tcW w:type="dxa" w:w="2880"/>
          </w:tcPr>
          <w:p>
            <w:r>
              <w:t>sign</w:t>
            </w:r>
          </w:p>
        </w:tc>
      </w:tr>
      <w:tr>
        <w:tc>
          <w:tcPr>
            <w:tcW w:type="dxa" w:w="2880"/>
          </w:tcPr>
          <w:p>
            <w:r>
              <w:t>1w</w:t>
            </w:r>
          </w:p>
        </w:tc>
        <w:tc>
          <w:tcPr>
            <w:tcW w:type="dxa" w:w="2880"/>
          </w:tcPr>
          <w:p>
            <w:r>
              <w:t>-10.0 bps</w:t>
            </w:r>
          </w:p>
        </w:tc>
        <w:tc>
          <w:tcPr>
            <w:tcW w:type="dxa" w:w="2880"/>
          </w:tcPr>
          <w:p>
            <w:r>
              <w:t>-1</w:t>
            </w:r>
          </w:p>
        </w:tc>
      </w:tr>
      <w:tr>
        <w:tc>
          <w:tcPr>
            <w:tcW w:type="dxa" w:w="2880"/>
          </w:tcPr>
          <w:p>
            <w:r>
              <w:t>1m</w:t>
            </w:r>
          </w:p>
        </w:tc>
        <w:tc>
          <w:tcPr>
            <w:tcW w:type="dxa" w:w="2880"/>
          </w:tcPr>
          <w:p>
            <w:r>
              <w:t>+10.9 bps</w:t>
            </w:r>
          </w:p>
        </w:tc>
        <w:tc>
          <w:tcPr>
            <w:tcW w:type="dxa" w:w="2880"/>
          </w:tcPr>
          <w:p>
            <w:r>
              <w:t>+1</w:t>
            </w:r>
          </w:p>
        </w:tc>
      </w:tr>
      <w:tr>
        <w:tc>
          <w:tcPr>
            <w:tcW w:type="dxa" w:w="2880"/>
          </w:tcPr>
          <w:p>
            <w:r>
              <w:t>3m</w:t>
            </w:r>
          </w:p>
        </w:tc>
        <w:tc>
          <w:tcPr>
            <w:tcW w:type="dxa" w:w="2880"/>
          </w:tcPr>
          <w:p>
            <w:r>
              <w:t>+17.3 bps</w:t>
            </w:r>
          </w:p>
        </w:tc>
        <w:tc>
          <w:tcPr>
            <w:tcW w:type="dxa" w:w="2880"/>
          </w:tcPr>
          <w:p>
            <w:r>
              <w:t>+1</w:t>
            </w:r>
          </w:p>
        </w:tc>
      </w:tr>
    </w:tbl>
    <w:p/>
    <w:p>
      <w:r>
        <w:rPr>
          <w:rFonts w:ascii="Consolas" w:hAnsi="Consolas"/>
          <w:color w:val="1F3B66"/>
          <w:sz w:val="20"/>
        </w:rPr>
        <w:t>mom_score = -(-1 + 1 + 1) = -1  → Bearish</w:t>
      </w:r>
    </w:p>
    <w:p>
      <w:r>
        <w:rPr>
          <w:b w:val="0"/>
          <w:i w:val="0"/>
        </w:rPr>
        <w:t>The long end is still in a 3-month selloff, but the 1-week move has turned down, so bearish momentum is fading at the margin.</w:t>
      </w:r>
    </w:p>
    <w:p>
      <w:pPr>
        <w:pStyle w:val="Heading1"/>
      </w:pPr>
      <w:r>
        <w:t>5. Why it is useful</w:t>
      </w:r>
    </w:p>
    <w:p>
      <w:pPr>
        <w:pStyle w:val="ListBullet"/>
      </w:pPr>
      <w:r>
        <w:t>A single-day z-score tells you if a move is unusual; mom_score tells you if a move is confirmed — a one-week spike scores at most ±1, never ±3.</w:t>
      </w:r>
    </w:p>
    <w:p>
      <w:pPr>
        <w:pStyle w:val="ListBullet"/>
      </w:pPr>
      <w:r>
        <w:t>Because it uses sign agreement rather than magnitude, it is immune to volatility differences between markets (e.g. JGB vs Treasury) — comparable across all 36 bonds.</w:t>
      </w:r>
    </w:p>
    <w:p>
      <w:pPr>
        <w:pStyle w:val="ListBullet"/>
      </w:pPr>
      <w:r>
        <w:t>The heatmap on the report pages makes regime shifts visible at a glance: a fully red grid (-3 Bear) shows a broad global selloff; pockets of -1 show where the long end is starting to stabilize.</w:t>
      </w:r>
    </w:p>
    <w:p>
      <w:pPr>
        <w:pStyle w:val="Heading1"/>
      </w:pPr>
      <w:r>
        <w:t>6. Interpretation guide for the daily report</w:t>
      </w:r>
    </w:p>
    <w:p>
      <w:r>
        <w:rPr>
          <w:b w:val="0"/>
          <w:i/>
        </w:rPr>
        <w:t>Suggested reading of the mom_score / mom_dir columns on the summary pages:</w:t>
      </w:r>
    </w:p>
    <w:p>
      <w:pPr>
        <w:pStyle w:val="ListBullet"/>
      </w:pPr>
      <w:r>
        <w:t>|mom_score| = 3 across a whole country row → broad, confirmed trend in that curve</w:t>
      </w:r>
    </w:p>
    <w:p>
      <w:pPr>
        <w:pStyle w:val="ListBullet"/>
      </w:pPr>
      <w:r>
        <w:t>Front end -3 but long end -1 → bear-flattening losing steam at the long end</w:t>
      </w:r>
    </w:p>
    <w:p>
      <w:pPr>
        <w:pStyle w:val="ListBullet"/>
      </w:pPr>
      <w:r>
        <w:t>Scores flipping from -3 to +3 in a few days → sharp regime change; check the chg_1d / z-score columns for the catalyst</w:t>
      </w:r>
    </w:p>
    <w:p/>
    <w:p>
      <w:r>
        <w:rPr>
          <w:i/>
          <w:sz w:val="18"/>
        </w:rPr>
        <w:t>Source: dm_govy_report.py (build_summary_table) — computed from Bloomberg generic government yield tickers (GT/GTDEM/GTFRF/GTESP/GTJPY/GUKG).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