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Business Case</w:t>
      </w:r>
    </w:p>
    <w:p>
      <w:pPr>
        <w:pStyle w:val="Heading2"/>
      </w:pPr>
      <w:r>
        <w:t>1. Executive Summary</w:t>
      </w:r>
    </w:p>
    <w:p>
      <w:r>
        <w:t>UNSEEN is a privacy-first, blind-first connection app targeting emotionally-aware singles, offering deeper engagement via AI-guided prompts and staged reveal workflows.</w:t>
      </w:r>
    </w:p>
    <w:p>
      <w:pPr>
        <w:pStyle w:val="Heading2"/>
      </w:pPr>
      <w:r>
        <w:t>2. Financial Projections</w:t>
      </w:r>
    </w:p>
    <w:p>
      <w:pPr>
        <w:pStyle w:val="ListBullet"/>
      </w:pPr>
      <w:r>
        <w:t>Year 1: 10,000 MAUs, 10% trial-to-paid conversion → €99K ARR.</w:t>
      </w:r>
    </w:p>
    <w:p>
      <w:pPr>
        <w:pStyle w:val="ListBullet"/>
      </w:pPr>
      <w:r>
        <w:t>Year 2: 50,000 MAUs, 12% conversion → €594K ARR.</w:t>
      </w:r>
    </w:p>
    <w:p>
      <w:pPr>
        <w:pStyle w:val="ListBullet"/>
      </w:pPr>
      <w:r>
        <w:t>ARPU: ~€8.25 per paying user per month.</w:t>
      </w:r>
    </w:p>
    <w:p>
      <w:pPr>
        <w:pStyle w:val="Heading2"/>
      </w:pPr>
      <w:r>
        <w:t>3. Cost Structure</w:t>
      </w:r>
    </w:p>
    <w:p>
      <w:pPr>
        <w:pStyle w:val="ListBullet"/>
      </w:pPr>
      <w:r>
        <w:t>Monthly overhead: €650 infra + €30 AI costs → €780/month.</w:t>
      </w:r>
    </w:p>
    <w:p>
      <w:pPr>
        <w:pStyle w:val="ListBullet"/>
      </w:pPr>
      <w:r>
        <w:t>Variable costs scale linearly with MAUs: ~€0.05/user/month.</w:t>
      </w:r>
    </w:p>
    <w:p>
      <w:pPr>
        <w:pStyle w:val="Heading2"/>
      </w:pPr>
      <w:r>
        <w:t>4. ROI Analysis</w:t>
      </w:r>
    </w:p>
    <w:p>
      <w:pPr>
        <w:pStyle w:val="ListBullet"/>
      </w:pPr>
      <w:r>
        <w:t>Breakeven at ~800 paying users.</w:t>
      </w:r>
    </w:p>
    <w:p>
      <w:pPr>
        <w:pStyle w:val="ListBullet"/>
      </w:pPr>
      <w:r>
        <w:t>Profit margin ~85% post-breakeven.</w:t>
      </w:r>
    </w:p>
    <w:p>
      <w:pPr>
        <w:pStyle w:val="Heading2"/>
      </w:pPr>
      <w:r>
        <w:t>5. Risks &amp; Mitigation</w:t>
      </w:r>
    </w:p>
    <w:p>
      <w:pPr>
        <w:pStyle w:val="ListBullet"/>
      </w:pPr>
      <w:r>
        <w:t>AI scoring inaccuracies: implement user feedback loop.</w:t>
      </w:r>
    </w:p>
    <w:p>
      <w:pPr>
        <w:pStyle w:val="ListBullet"/>
      </w:pPr>
      <w:r>
        <w:t>Regulatory changes: maintain compliance monitoring.</w:t>
      </w:r>
    </w:p>
    <w:p>
      <w:pPr>
        <w:pStyle w:val="Heading2"/>
      </w:pPr>
      <w:r>
        <w:t>6. Timeline &amp; Milestones</w:t>
      </w:r>
    </w:p>
    <w:p>
      <w:pPr>
        <w:pStyle w:val="ListBullet"/>
      </w:pPr>
      <w:r>
        <w:t>MVP Beta Launch: Month 3.</w:t>
      </w:r>
    </w:p>
    <w:p>
      <w:pPr>
        <w:pStyle w:val="ListBullet"/>
      </w:pPr>
      <w:r>
        <w:t>GTM &amp; Growth: Months 4–12.</w:t>
      </w:r>
    </w:p>
    <w:p>
      <w:pPr>
        <w:pStyle w:val="ListBullet"/>
      </w:pPr>
      <w:r>
        <w:t>Expansion to Enterprise: Year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