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UNSEEN End-of-Life (EOL) Strategy</w:t>
      </w:r>
    </w:p>
    <w:p>
      <w:r>
        <w:t>Created on: 2025-07-16</w:t>
        <w:br/>
      </w:r>
    </w:p>
    <w:p>
      <w:pPr>
        <w:pStyle w:val="Heading2"/>
      </w:pPr>
      <w:r>
        <w:t>EOL Triggers</w:t>
      </w:r>
    </w:p>
    <w:p>
      <w:r>
        <w:t>Conditions that would lead to product sunset (e.g., low adoption, pivot).</w:t>
      </w:r>
    </w:p>
    <w:p>
      <w:pPr>
        <w:pStyle w:val="Heading2"/>
      </w:pPr>
      <w:r>
        <w:t>User Communication Plan</w:t>
      </w:r>
    </w:p>
    <w:p>
      <w:r>
        <w:t>How users will be informed and supported.</w:t>
      </w:r>
    </w:p>
    <w:p>
      <w:pPr>
        <w:pStyle w:val="Heading2"/>
      </w:pPr>
      <w:r>
        <w:t>Data Handling</w:t>
      </w:r>
    </w:p>
    <w:p>
      <w:r>
        <w:t>Retention, deletion, or export policies.</w:t>
      </w:r>
    </w:p>
    <w:p>
      <w:pPr>
        <w:pStyle w:val="Heading2"/>
      </w:pPr>
      <w:r>
        <w:t>Transition Options</w:t>
      </w:r>
    </w:p>
    <w:p>
      <w:r>
        <w:t>Alternatives or migration plans for users.</w:t>
      </w:r>
    </w:p>
    <w:p>
      <w:pPr>
        <w:pStyle w:val="Heading2"/>
      </w:pPr>
      <w:r>
        <w:t>Timeline</w:t>
      </w:r>
    </w:p>
    <w:p>
      <w:r>
        <w:t>Estimated timeframes for EOL execution.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