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18</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Além desta introdução, este capítulo é composto por mais seis. O próximo trata da Teoria Espacial do Voto, o que permite a construção dos mapas de votação. Depois é feito o levantamento bibliográfico com os trabalhos correlatos ao tema. A seção seguinte descreve a metodologia utilizada. O capítulo 5 descreve a base de dados e traça um panorama geral da legislatura estudada. Na seção 6 são discutidos os resultados da pesquisa, seguido das considerações finais.</w:t>
      </w:r>
    </w:p>
    <w:p>
      <w:r>
        <w:br w:type="page"/>
      </w:r>
    </w:p>
    <w:bookmarkEnd w:id="20"/>
    <w:bookmarkStart w:id="21" w:name="revisão-bibliográfica"/>
    <w:p>
      <w:pPr>
        <w:pStyle w:val="Ttulo1"/>
      </w:pPr>
      <w:r>
        <w:t xml:space="preserve">Revisão Bibliográfica</w:t>
      </w:r>
    </w:p>
    <w:p>
      <w:pPr>
        <w:pStyle w:val="FirstParagraph"/>
      </w:pPr>
      <w:r>
        <w:t xml:space="preserve">Existe uma forte relação entre receitas, gastos de campanhas eleitorais e performance eleitoral.</w:t>
      </w:r>
      <w:r>
        <w:t xml:space="preserve"> </w:t>
      </w:r>
      <w:r>
        <w:t xml:space="preserve">Samuels (2001)</w:t>
      </w:r>
      <w:r>
        <w:t xml:space="preserve"> </w:t>
      </w:r>
      <w:r>
        <w:t xml:space="preserve">investigou os pleitos brasileiros de 1994 e 1998 para os cargos de Presidente, Senador, Deputado Federal e Governador. O autor identificou que em ambas as eleições eram as PJ que despendiam mais recursos em doações para todos os cargos. Os vencedores eram os que recebiam as maiores quantias. Além disso, os candidatos de partidos considerados mais à esquerda pelo autor, como o PT e PDT, tinham receita menor que os de partidos no outro espectro ideológico. Os partidos de esquerda recebiam, inclusive, menos doações de empresas. Por fim, o autor ainda estimou uma regressão buscando inferir o impacto do dinheiro no percentual de votos obtidos. A conclusão foi de que o efeito era o maior dentre todas as explicativas para ambas eleições.</w:t>
      </w:r>
    </w:p>
    <w:p>
      <w:pPr>
        <w:pStyle w:val="BodyText"/>
      </w:pPr>
      <w:r>
        <w:t xml:space="preserve">SPECK e MARCIANO (2015)</w:t>
      </w:r>
      <w:r>
        <w:t xml:space="preserve"> </w:t>
      </w:r>
      <w:r>
        <w:t xml:space="preserve">discorrem sobre o perfil de financiamento de campanha dos Deputados Federais nos pleitos de 2002, 2006 e 2010. Os autores encontraram uma mudança no padrão de doações. Olhando para a média de doações, em 2002 e 2006, as principais fontes de recurso eram PJ, PF, recursos próprios, transferências de outros candidatos e comitês e por fim recursos do partido. Mas, em 2010, essa ordem mudou. As transferências dos partidos saíram de percentual médio, em relação a receita total, de 1%,em 2002, para 20%. Os recursos próprios passaram a ter menos importância e as doações PF e de outros candidatos empatam na 3 posição.</w:t>
      </w:r>
    </w:p>
    <w:p>
      <w:pPr>
        <w:pStyle w:val="BodyText"/>
      </w:pPr>
      <w:r>
        <w:t xml:space="preserve">Outra contribuição dos autores foi separar os candidatos cuja receita de campanha adivinha mais do que 50% de uma única fonte. No início do intervalo estudado, mais da metade dos candidatos à Câmara recebiam mais de 50% de todas as doações de empresas. Em 2010 esse número caiu para 34%. Logo, fica evidenciado uma diminuição da importância do financiamento via PJ. Por sua vez, quando analisados os candidatos cujos recursos provinham majoritariamente do próprio partido, tem-se um salto de 0% em 2002 para 10% em 2010.</w:t>
      </w:r>
    </w:p>
    <w:p>
      <w:pPr>
        <w:pStyle w:val="BodyText"/>
      </w:pPr>
      <w:r>
        <w:t xml:space="preserve">Silva e Cervi (2017)</w:t>
      </w:r>
      <w:r>
        <w:t xml:space="preserve"> </w:t>
      </w:r>
      <w:r>
        <w:t xml:space="preserve">estudaram o financiamento das campanhas eleitorais dos candidatos a Deputados Federais em 2010 e em 2014. Os autores encontraram resultados similares a</w:t>
      </w:r>
      <w:r>
        <w:t xml:space="preserve"> </w:t>
      </w:r>
      <w:r>
        <w:t xml:space="preserve">SPECK e MARCIANO (2015)</w:t>
      </w:r>
      <w:r>
        <w:t xml:space="preserve"> </w:t>
      </w:r>
      <w:r>
        <w:t xml:space="preserve">para o ano de 2010. Porém, em 2014 houve uma nova mudança no padrão de financiamento. As empresas deixaram de ser os principais doadores diretos e passaram a destinar seus recursos aos partidos. Portanto, são os partidos políticos que figuram como maiores doadores, seguidos das PJ, PF, recursos próprios e transferências de outros candidatos e comitês.</w:t>
      </w:r>
    </w:p>
    <w:p>
      <w:pPr>
        <w:pStyle w:val="BodyText"/>
      </w:pPr>
      <w:r>
        <w:t xml:space="preserve">Os pesquisadores ainda destacam que a partir da Resolução nº23.406/2014, do TSE, tornou-se obrigatória a identificação do doador originário. Dessa forma, tornou-se possível verificar as contribuições feitas pelos candidatos entre si e pelos partidos. Com isso, observaram que, embora tenha perdido importância relativa nas doações diretas, as PJ são os maiores doadores originários indiretamente, via recursos do partido ou de outros candidatos e comitês. Por fim, salientam que o desempenho eleitoral está ligado às receitas totais, especificamente quando oriundas dos partidos e empresas.</w:t>
      </w:r>
    </w:p>
    <w:p>
      <w:pPr>
        <w:pStyle w:val="BodyText"/>
      </w:pPr>
      <w:r>
        <w:t xml:space="preserve">Peixoto (2010)</w:t>
      </w:r>
      <w:r>
        <w:t xml:space="preserve"> </w:t>
      </w:r>
      <w:r>
        <w:t xml:space="preserve">avaliou o impacto dos gastos de campanha nas eleições de 2006, especificamente para a Câmara dos Deputados Federais e Estaduais. O autor incorpora as características pessoais e políticas dos candidatos em uma regressão de Mínimos Quadrados, onde a variável dependente são os votos. Embora os parâmetros estimados para gastos sejam positivos e significantes, ser político (Deputado ou Senador) tem efeito maior.</w:t>
      </w:r>
    </w:p>
    <w:p>
      <w:pPr>
        <w:pStyle w:val="BodyText"/>
      </w:pPr>
      <w:r>
        <w:t xml:space="preserve">Mancuso e Speck (2015)</w:t>
      </w:r>
      <w:r>
        <w:t xml:space="preserve"> </w:t>
      </w:r>
      <w:r>
        <w:t xml:space="preserve">pesquisaram os determinantes do financiamento empresarial diretamente aos candidatos nas eleições de 2002 até 2010. Além disso, averiguaram quais os impactos deste no resultado dos pleitos. Os autores concluem que os candidatos que já estão no cargo tem uma vantagem sobre os demais recebendo maiores doações. Além disso, os pertencentes a partidos grandes de direita são mais preferidos pelas empresas. Por fim, concluem que os campeões do financiamento empresarial possuem maior probabilidade de serem eleitos.</w:t>
      </w:r>
    </w:p>
    <w:p>
      <w:r>
        <w:br w:type="page"/>
      </w:r>
    </w:p>
    <w:bookmarkEnd w:id="21"/>
    <w:bookmarkStart w:id="24" w:name="metodologia"/>
    <w:p>
      <w:pPr>
        <w:pStyle w:val="Ttulo1"/>
      </w:pPr>
      <w:r>
        <w:t xml:space="preserve">Metodologia</w:t>
      </w:r>
    </w:p>
    <w:bookmarkStart w:id="22"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2"/>
    <w:bookmarkStart w:id="23"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as variáveis monetárias, em valores absolutos, foram logaritmizadas. Aquelas cujo valor era zero foram transformadas em um, antes de aplicar o operador. Após,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d>
                <m:dPr>
                  <m:begChr m:val="|"/>
                  <m:endChr m:val="|"/>
                  <m:sepChr m:val=""/>
                  <m:grow/>
                </m:dPr>
                <m:e/>
              </m:d>
              <m:r>
                <m:t>β</m:t>
              </m:r>
              <m:sSubSup>
                <m:e>
                  <m:d>
                    <m:dPr>
                      <m:begChr m:val="|"/>
                      <m:endChr m:val="|"/>
                      <m:sepChr m:val=""/>
                      <m:grow/>
                    </m:dPr>
                    <m:e/>
                  </m:d>
                </m:e>
                <m:sub>
                  <m:r>
                    <m:t>2</m:t>
                  </m:r>
                </m:sub>
                <m:sup>
                  <m:r>
                    <m:t>2</m:t>
                  </m:r>
                </m:sup>
              </m:sSubSup>
              <m:r>
                <m:rPr>
                  <m:sty m:val="p"/>
                </m:rPr>
                <m:t>+</m:t>
              </m:r>
              <m:r>
                <m:t>α</m:t>
              </m:r>
              <m:d>
                <m:dPr>
                  <m:begChr m:val="|"/>
                  <m:endChr m:val="|"/>
                  <m:sepChr m:val=""/>
                  <m:grow/>
                </m:dPr>
                <m:e/>
              </m:d>
              <m:r>
                <m:t>β</m:t>
              </m:r>
              <m:sSub>
                <m:e>
                  <m:d>
                    <m:dPr>
                      <m:begChr m:val="|"/>
                      <m:endChr m:val="|"/>
                      <m:sepChr m:val=""/>
                      <m:grow/>
                    </m:dPr>
                    <m:e/>
                  </m:d>
                </m:e>
                <m:sub>
                  <m:r>
                    <m:t>1</m:t>
                  </m:r>
                </m:sub>
              </m:sSub>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0</m:t>
        </m:r>
      </m:oMath>
      <w:r>
        <w:t xml:space="preserve">) ou</w:t>
      </w:r>
      <w:r>
        <w:t xml:space="preserve"> </w:t>
      </w:r>
      <w:r>
        <w:rPr>
          <w:iCs/>
          <w:i/>
        </w:rPr>
        <w:t xml:space="preserve">Lasso</w:t>
      </w:r>
      <w:r>
        <w:t xml:space="preserve"> </w:t>
      </w:r>
      <w:r>
        <w:t xml:space="preserve">(</w:t>
      </w:r>
      <m:oMath>
        <m:r>
          <m:t>α</m:t>
        </m:r>
        <m:r>
          <m:rPr>
            <m:sty m:val="p"/>
          </m:rPr>
          <m:t>=</m:t>
        </m:r>
        <m:r>
          <m:t>1</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Por fim,</w:t>
      </w:r>
      <w:r>
        <w:t xml:space="preserve"> </w:t>
      </w:r>
      <m:oMath>
        <m:d>
          <m:dPr>
            <m:begChr m:val="|"/>
            <m:endChr m:val="|"/>
            <m:sepChr m:val=""/>
            <m:grow/>
          </m:dPr>
          <m:e/>
        </m:d>
        <m:r>
          <m:t>β</m:t>
        </m:r>
        <m:sSub>
          <m:e>
            <m:d>
              <m:dPr>
                <m:begChr m:val="|"/>
                <m:endChr m:val="|"/>
                <m:sepChr m:val=""/>
                <m:grow/>
              </m:dPr>
              <m:e/>
            </m:d>
          </m:e>
          <m:sub>
            <m:r>
              <m:t>2</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Sup>
                  <m:e>
                    <m:r>
                      <m:t>β</m:t>
                    </m:r>
                  </m:e>
                  <m:sub>
                    <m:r>
                      <m:t>j</m:t>
                    </m:r>
                  </m:sub>
                  <m:sup>
                    <m:r>
                      <m:t>2</m:t>
                    </m:r>
                  </m:sup>
                </m:sSubSup>
              </m:e>
            </m:d>
          </m:e>
        </m:nary>
      </m:oMath>
      <w:r>
        <w:t xml:space="preserve"> </w:t>
      </w:r>
      <w:r>
        <w:t xml:space="preserve">e</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 logarítmica 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muitos dados ausentes e ter uma disparidade muito grande entre os Deputados. Quanto às políticas, aquela que indicava se o mesmo era suplente não foi mantida, porque o número de votantes nessa condição era pequeno, e também o total de votos obtidos.</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a hipótese é que esta seja capaz de influenciar a decisão do congressista. Para o coeficiente da variável binária que indica se o Deputado era da Oposição não há um sinal esperado a priori,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3"/>
    <w:bookmarkEnd w:id="24"/>
    <w:bookmarkStart w:id="28"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22 foram obtidos conforme a data e horário em que a votação foi feita. Como já apresentado, outras EMA’s trouxeram propostas de financiamento de campanha eleitoral para a discussão da PEC 182/2007. A variável dependente considerada nesta pesquisa trata apenas dos votos contra ou a favor da EMA 22.</w:t>
      </w:r>
    </w:p>
    <w:p>
      <w:pPr>
        <w:pStyle w:val="BodyText"/>
      </w:pPr>
      <w:r>
        <w:t xml:space="preserve">No total, foram 459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10 e EMA 32, que também tratavam do tema finaciamento de campanha.</w:t>
      </w:r>
    </w:p>
    <w:bookmarkStart w:id="25" w:name="características-pessoais"/>
    <w:p>
      <w:pPr>
        <w:pStyle w:val="Ttulo2"/>
      </w:pPr>
      <w:r>
        <w:t xml:space="preserve">Características Pessoais</w:t>
      </w:r>
    </w:p>
    <w:p>
      <w:pPr>
        <w:pStyle w:val="FirstParagraph"/>
      </w:pPr>
      <w:r>
        <w:t xml:space="preserve">Buscou-se traçar um perfil dos Deputados votantes, diferenciando-os de acordo com o voto. A Figura</w:t>
      </w:r>
      <w:r>
        <w:t xml:space="preserve"> </w:t>
      </w:r>
      <w:hyperlink w:anchor="ocupacao">
        <w:r xmlns:w14="http://schemas.microsoft.com/office/word/2010/wordml">
          <w:rPr/>
          <w:fldChar w:fldCharType="begin" w:dirty="true"/>
        </w:r>
        <w:r xmlns:w14="http://schemas.microsoft.com/office/word/2010/wordml">
          <w:rPr/>
          <w:instrText xml:space="preserve" w:dirty="true"> REF ocupacao \h</w:instrText>
        </w:r>
        <w:r xmlns:w14="http://schemas.microsoft.com/office/word/2010/wordml">
          <w:rPr/>
          <w:fldChar w:fldCharType="end" w:dirty="true"/>
        </w:r>
      </w:hyperlink>
      <w:r>
        <w:t xml:space="preserve"> </w:t>
      </w:r>
      <w:r>
        <w:t xml:space="preserve">traz as sete ocupações mais frequentes dos Deputados que votaram contra e a favor a emenda. Os percentuais indicados são sempre em relação aos 454 Deputados.</w:t>
      </w:r>
    </w:p>
    <w:p>
      <w:pPr>
        <w:pStyle w:val="ImagemCaption"/>
      </w:pPr>
      <w:r>
        <w:rPr>
          <w:rFonts/>
          <w:b w:val="true"/>
        </w:rPr>
        <w:t xml:space="preserve">Figura </w:t>
      </w:r>
      <w:bookmarkStart w:id="9f3e5bf3-020f-4545-973b-c4ab024c8235"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3e5bf3-020f-4545-973b-c4ab024c8235"/>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74f50c10-f56a-4f04-a874-75322c063bce"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f50c10-f56a-4f04-a874-75322c063bce"/>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97df8141-2ee5-4b81-867f-26d8930c1f18"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df8141-2ee5-4b81-867f-26d8930c1f18"/>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7364ec43-32ae-46c7-bc2f-d71737929b4e"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64ec43-32ae-46c7-bc2f-d71737929b4e"/>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22 dentro de cada UF. Os intervalos das classes são fechados à esquerda e foram construídos conforme os quintis. Dessa forma, as UF ’s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730277dc-e241-4bcf-9667-00bd51e2182c"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0277dc-e241-4bcf-9667-00bd51e2182c"/>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485c270d-b58b-424b-a8e0-18b1d17a0d59"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85c270d-b58b-424b-a8e0-18b1d17a0d59"/>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5"/>
    <w:bookmarkStart w:id="26" w:name="características-políticas"/>
    <w:p>
      <w:pPr>
        <w:pStyle w:val="Ttulo2"/>
      </w:pPr>
      <w:r>
        <w:t xml:space="preserve">Características Políticas</w:t>
      </w:r>
    </w:p>
    <w:p>
      <w:pPr>
        <w:pStyle w:val="FirstParagraph"/>
      </w:pPr>
      <w:r>
        <w:t xml:space="preserve">Na Figura</w:t>
      </w:r>
      <w:r>
        <w:t xml:space="preserve"> </w:t>
      </w:r>
      <w:hyperlink w:anchor="ideologia">
        <w:r xmlns:w14="http://schemas.microsoft.com/office/word/2010/wordml">
          <w:rPr/>
          <w:fldChar w:fldCharType="begin" w:dirty="true"/>
        </w:r>
        <w:r xmlns:w14="http://schemas.microsoft.com/office/word/2010/wordml">
          <w:rPr/>
          <w:instrText xml:space="preserve" w:dirty="true"> REF ideologia \h</w:instrText>
        </w:r>
        <w:r xmlns:w14="http://schemas.microsoft.com/office/word/2010/wordml">
          <w:rPr/>
          <w:fldChar w:fldCharType="end" w:dirty="true"/>
        </w:r>
      </w:hyperlink>
      <w:r>
        <w:t xml:space="preserve"> </w:t>
      </w:r>
      <w:r>
        <w:t xml:space="preserve">observa-se a distribuição dos Deputados conforme a variável ideologia, construída no capítulo 2.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ac95066e-8664-4110-806e-d3d390be217d"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95066e-8664-4110-806e-d3d390be217d"/>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bceeb317-233c-440c-8af7-ac9a2252608e"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eeb317-233c-440c-8af7-ac9a2252608e"/>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858aed5c-269a-41ea-87d8-f53af75fed05"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8aed5c-269a-41ea-87d8-f53af75fed05"/>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aprtido. No outro grupo, 7% mudaram. Quanto a ser um Deputado Suplente tem-se um baixo número de políticos nessa condição em ambos os lados, não há diferença de médias nesse caso. Por sua vez, existem mais deputados na Oposição ao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4134a2ae-66b1-4e08-9224-a10feba0d50b"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134a2ae-66b1-4e08-9224-a10feba0d50b"/>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6"/>
    <w:bookmarkStart w:id="27"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 </w:t>
      </w:r>
      <w:r>
        <w:t xml:space="preserve">exibe as informações dos valores doados por tipo de fonte, separando aqueles que votaram contra e a favor. Novamente, em virtude da grande dispersão, foi aplicado o logaritmo. Mas, como algumas receitas eram 0, transformaram-se esses valores em 1. Dessa forma, ao passar o operador o valor resultante seria zero. Além disso, é importante salientar que, o logaritmo de valores próximos a zero é negativo.</w:t>
      </w:r>
    </w:p>
    <w:p>
      <w:pPr>
        <w:pStyle w:val="ImagemCaption"/>
      </w:pPr>
      <w:r>
        <w:rPr>
          <w:rFonts/>
          <w:b w:val="true"/>
        </w:rPr>
        <w:t xml:space="preserve">Figura </w:t>
      </w:r>
      <w:bookmarkStart w:id="ebc4a743-d2c8-4d20-8641-b2909847e2b2"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c4a743-d2c8-4d20-8641-b2909847e2b2"/>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Apenas nas receitas advindas de recursos próprios é que o grupos parecem se diferenciar mais. Além disso, chama atenção as duas curvas de densidade em cada tipo de doação. Isso mostra que existe uma forte diferenciação entre Deputados que recebem muitas doaçoes e aqueles que recebem poucas.</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Novamente, os valores foram transformados. Aqui fica</w:t>
      </w:r>
    </w:p>
    <w:p>
      <w:pPr>
        <w:pStyle w:val="ImagemCaption"/>
      </w:pPr>
      <w:r>
        <w:rPr>
          <w:rFonts/>
          <w:b w:val="true"/>
        </w:rPr>
        <w:t xml:space="preserve">Figura </w:t>
      </w:r>
      <w:bookmarkStart w:id="71c5c1f2-edce-417a-9e71-82bc560fc85b"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c5c1f2-edce-417a-9e71-82bc560fc85b"/>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w:t>
      </w:r>
    </w:p>
    <w:p>
      <w:pPr>
        <w:pStyle w:val="TableCaption"/>
      </w:pPr>
      <w:r>
        <w:rPr>
          <w:rFonts/>
          <w:b w:val="true"/>
        </w:rPr>
        <w:t xml:space="preserve">Tabela </w:t>
      </w:r>
      <w:bookmarkStart w:id="932620c4-92a4-449f-a24f-7a0ad9de8af9"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32620c4-92a4-449f-a24f-7a0ad9de8af9"/>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27"/>
    <w:bookmarkEnd w:id="28"/>
    <w:bookmarkStart w:id="31"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modelo escolhido.</w:t>
      </w:r>
    </w:p>
    <w:bookmarkStart w:id="29"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02942ae1-7340-4383-80db-764bf015b374"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02942ae1-7340-4383-80db-764bf015b374"/>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f33f8c18-0762-4d03-9fc2-05903a73967f"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3f8c18-0762-4d03-9fc2-05903a73967f"/>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29"/>
    <w:bookmarkStart w:id="30"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no Capítulo 2 esta variável está ligada a finanças públicas e orçamento. Portanto, é possível que a motivação dos favoráveis a EMA 22 esteja ligada a um possível aumento do gasto público caso a emenda não fosse aprovada. 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d1fd7ed0-3d25-4e60-bdea-52a19d11efda"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fd7ed0-3d25-4e60-bdea-52a19d11efda"/>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2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Surpreendentemente, os Deputados que mais financiaram suas campanhas com recursos partidários também mostraram-se favoráveis à medida, uma vez que a probabilidade de votar Sim, nesses casos, aumentava.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w:t>
      </w:r>
    </w:p>
    <w:p>
      <w:pPr>
        <w:pStyle w:val="ImagemCaption"/>
      </w:pPr>
      <w:r>
        <w:rPr>
          <w:rFonts/>
          <w:b w:val="true"/>
        </w:rPr>
        <w:t xml:space="preserve">Figura </w:t>
      </w:r>
      <w:bookmarkStart w:id="4e0a00c2-1847-4ceb-aa78-adefb0939c10"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0a00c2-1847-4ceb-aa78-adefb0939c10"/>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21"/>
                    <a:srcRect/>
                    <a:stretch>
                      <a:fillRect/>
                    </a:stretch>
                  </pic:blipFill>
                  <pic:spPr bwMode="auto">
                    <a:xfrm>
                      <a:off x="0" y="0"/>
                      <a:ext cx="63500" cy="50800"/>
                    </a:xfrm>
                    <a:prstGeom prst="rect">
                      <a:avLst/>
                    </a:prstGeom>
                    <a:noFill/>
                  </pic:spPr>
                </pic:pic>
              </a:graphicData>
            </a:graphic>
          </wp:inline>
        </w:drawing>
      </w:r>
    </w:p>
    <w:p>
      <w:r>
        <w:br w:type="page"/>
      </w:r>
    </w:p>
    <w:bookmarkEnd w:id="30"/>
    <w:bookmarkEnd w:id="31"/>
    <w:bookmarkStart w:id="32" w:name="considerações-finais"/>
    <w:p>
      <w:pPr>
        <w:pStyle w:val="Ttulo1"/>
      </w:pPr>
      <w:r>
        <w:t xml:space="preserve">Considerações Finais</w:t>
      </w:r>
    </w:p>
    <w:p>
      <w:pPr>
        <w:pStyle w:val="FirstParagraph"/>
      </w:pPr>
      <w:r>
        <w:t xml:space="preserve">Esta pesquisa buscou averiguar quais os fatores mais relacionados com a votação dos Deputados Federais na EMA 22, no âmbito da PEC 182/2007, também conhecida como a PEC da Reforma Política. A emenda propunha manter as doações privadas, de PJ e PF, diretamente aos candidatos dos cargos eletivos.</w:t>
      </w:r>
    </w:p>
    <w:p>
      <w:pPr>
        <w:pStyle w:val="BodyText"/>
      </w:pPr>
      <w:r>
        <w:t xml:space="preserve">Para tanto, levantaram-se diversas variáveis explicativas ligadas às características pessoais, políticas e de financiamento de campanha dos Deputados votantes. A escolha de quais seriam utilizadas e de qual método seria adotado foi guiado por um processo de ML através do algoritmo</w:t>
      </w:r>
      <w:r>
        <w:t xml:space="preserve"> </w:t>
      </w:r>
      <w:r>
        <w:rPr>
          <w:iCs/>
          <w:i/>
        </w:rPr>
        <w:t xml:space="preserve">Elastic Net</w:t>
      </w:r>
      <w:r>
        <w:t xml:space="preserve">. Uma vez que o hiperparâmetro de penalização estimado foi próximo de zero, optou-se pelo método usual de regressão</w:t>
      </w:r>
      <w:r>
        <w:t xml:space="preserve"> </w:t>
      </w:r>
      <w:r>
        <w:rPr>
          <w:iCs/>
          <w:i/>
        </w:rPr>
        <w:t xml:space="preserve">Logit</w:t>
      </w:r>
      <w:r>
        <w:t xml:space="preserve">.</w:t>
      </w:r>
    </w:p>
    <w:p>
      <w:pPr>
        <w:pStyle w:val="BodyText"/>
      </w:pPr>
      <w:r>
        <w:t xml:space="preserve">Quanto às características pessoais destaca-se não haver indícios que o fato de já ser político influenciou no voto. Portanto, a hipótese de que ao proibir os candidatos de acessar uma fonte de financiamento eleitoral os Deputados estabelecidos estariam criando uma barreira à entrada não se comprovou. Além disso, há um componente regional, indicado pela significância dos parâmetros das dummies de região, que pode ser mais explorado. Os políticos da região Centro-Oeste parecem ter maiores incentivos a votar contra a emenda.</w:t>
      </w:r>
    </w:p>
    <w:p>
      <w:pPr>
        <w:pStyle w:val="BodyText"/>
      </w:pPr>
      <w:r>
        <w:t xml:space="preserve">Já para o conjunto de variáveis políticas, observou-se uma grande importância da orientação partidária no voto. Os pertencentes a partidos que orientaram o voto Não tiveram maior probabilidade de rejeitar a proposta. Esse fato abre espaço para um novo debate sobre os condicionantes dessa orientação. Os partidos políticos que encabeçaram um voto contrário a EMA 22 o fizeram por ideologia? Como são formadas as receitas desses partidos? Quão estabelecido é este partido na conjuntura política do país?</w:t>
      </w:r>
    </w:p>
    <w:p>
      <w:pPr>
        <w:pStyle w:val="BodyText"/>
      </w:pPr>
      <w:r>
        <w:t xml:space="preserve">Por sua vez, a ideologia dos parlamentares mostrou-se relevante. Quanto mais a direita no mapa espacial de votações, maior a chance de aprovar a emenda. Esta variável está ligada à temática de finanças públicas e orçamento. Portanto, é possível que a motivação dos favoráveis a EMA 22 esteja ligada a um possível aumento do gasto público caso a emenda não fosse aprovada.</w:t>
      </w:r>
    </w:p>
    <w:p>
      <w:pPr>
        <w:pStyle w:val="BodyText"/>
      </w:pPr>
      <w:r>
        <w:t xml:space="preserve">Por fim, analisando as fontes de financiamento tem-se que quanto mais financiado por PJ o Deputado foi, maior sua chance de votar Sim. Esse comportamento parece ser coerente, afinal se estes fossem contrários estariam perdendo doações para a campanha. Porém, esperava-se que os sinais dos coeficientes estimados das demais fontes de financiamento fossem significativos e negativos, supondo que seria racional para os parlamentares bloquear uma receita de campanha da qual eles não dependem e que favorecem seus concorrentes.</w:t>
      </w:r>
    </w:p>
    <w:p>
      <w:pPr>
        <w:pStyle w:val="BodyText"/>
      </w:pPr>
      <w:r>
        <w:t xml:space="preserve">Vale destacar que o texto da EMA não se referia somente a doações diretas de PJ, mas de PF também. Na análise feita, assume-se que os votantes consideraram como medida principal da emenda apenas o fato ligado à PJ.</w:t>
      </w:r>
    </w:p>
    <w:p>
      <w:pPr>
        <w:pStyle w:val="BodyText"/>
      </w:pPr>
      <w:r>
        <w:t xml:space="preserve">Trabalhos futuros podem utilizar as demais EMA ’s que tratavam sobre o financiamento de campanha na mesma PEC, outros algoritmos de ML e variáveis políticas em um maior horizonte temporal, como a média de votos recebidos em todas as eleições e o total de anos como político.</w:t>
      </w:r>
    </w:p>
    <w:p>
      <w:r>
        <w:br w:type="page"/>
      </w:r>
    </w:p>
    <w:bookmarkEnd w:id="32"/>
    <w:bookmarkStart w:id="39" w:name="referências"/>
    <w:p>
      <w:pPr>
        <w:pStyle w:val="Ttulo1"/>
      </w:pPr>
      <w:r>
        <w:t xml:space="preserve">Referências</w:t>
      </w:r>
    </w:p>
    <w:bookmarkStart w:id="38" w:name="refs"/>
    <w:bookmarkStart w:id="33" w:name="ref-mancuso2015financiamento"/>
    <w:p>
      <w:pPr>
        <w:pStyle w:val="Bibliography"/>
      </w:pPr>
      <w:r>
        <w:t xml:space="preserve">MANCUSO, W. P.; SPECK, B. W. Financiamento empresarial na elei</w:t>
      </w:r>
      <w:r>
        <w:t xml:space="preserve">ç</w:t>
      </w:r>
      <w:r>
        <w:t xml:space="preserve">ã</w:t>
      </w:r>
      <w:r>
        <w:t xml:space="preserve">o para deputado federal (2002-2010): determinantes e consequ</w:t>
      </w:r>
      <w:r>
        <w:t xml:space="preserve">ê</w:t>
      </w:r>
      <w:r>
        <w:t xml:space="preserve">ncias.</w:t>
      </w:r>
      <w:r>
        <w:t xml:space="preserve"> </w:t>
      </w:r>
      <w:r>
        <w:rPr>
          <w:bCs/>
          <w:b/>
        </w:rPr>
        <w:t xml:space="preserve">Revista Teoria &amp; Sociedade</w:t>
      </w:r>
      <w:r>
        <w:t xml:space="preserve">, 2015.</w:t>
      </w:r>
    </w:p>
    <w:bookmarkEnd w:id="33"/>
    <w:bookmarkStart w:id="34" w:name="ref-peixoto2010eleiccoes"/>
    <w:p>
      <w:pPr>
        <w:pStyle w:val="Bibliography"/>
      </w:pPr>
      <w:r>
        <w:t xml:space="preserve">PEIXOTO, V. DE M. Elei</w:t>
      </w:r>
      <w:r>
        <w:t xml:space="preserve">ç</w:t>
      </w:r>
      <w:r>
        <w:t xml:space="preserve">õ</w:t>
      </w:r>
      <w:r>
        <w:t xml:space="preserve">es e financiamento de campanhas no Brasil.</w:t>
      </w:r>
      <w:r>
        <w:t xml:space="preserve"> </w:t>
      </w:r>
      <w:r>
        <w:rPr>
          <w:bCs/>
          <w:b/>
        </w:rPr>
        <w:t xml:space="preserve">Rio de Janeiro. Tese de doutoramento defendida no Instituto Universit</w:t>
      </w:r>
      <w:r>
        <w:rPr>
          <w:bCs/>
          <w:b/>
        </w:rPr>
        <w:t xml:space="preserve">á</w:t>
      </w:r>
      <w:r>
        <w:rPr>
          <w:bCs/>
          <w:b/>
        </w:rPr>
        <w:t xml:space="preserve">rio de Pesquisa do Rio de Janeiro</w:t>
      </w:r>
      <w:r>
        <w:t xml:space="preserve">, 2010.</w:t>
      </w:r>
    </w:p>
    <w:bookmarkEnd w:id="34"/>
    <w:bookmarkStart w:id="35" w:name="ref-samuels2001money"/>
    <w:p>
      <w:pPr>
        <w:pStyle w:val="Bibliography"/>
      </w:pPr>
      <w:r>
        <w:t xml:space="preserve">SAMUELS, D. Money, elections, and democracy in Brazil.</w:t>
      </w:r>
      <w:r>
        <w:t xml:space="preserve"> </w:t>
      </w:r>
      <w:r>
        <w:rPr>
          <w:bCs/>
          <w:b/>
        </w:rPr>
        <w:t xml:space="preserve">Latin American Politics and Society</w:t>
      </w:r>
      <w:r>
        <w:t xml:space="preserve">, v. 43, n. 2, p. 27–48, 2001.</w:t>
      </w:r>
    </w:p>
    <w:bookmarkEnd w:id="35"/>
    <w:bookmarkStart w:id="36" w:name="ref-silva2017padroes"/>
    <w:p>
      <w:pPr>
        <w:pStyle w:val="Bibliography"/>
      </w:pPr>
      <w:r>
        <w:t xml:space="preserve">SILVA, B. F. DA; CERVI, E. U. Padr</w:t>
      </w:r>
      <w:r>
        <w:t xml:space="preserve">õ</w:t>
      </w:r>
      <w:r>
        <w:t xml:space="preserve">es de financiamento eleitoral no Brasil: as receitas de postulantes</w:t>
      </w:r>
      <w:r>
        <w:t xml:space="preserve"> </w:t>
      </w:r>
      <w:r>
        <w:t xml:space="preserve">à</w:t>
      </w:r>
      <w:r>
        <w:t xml:space="preserve"> </w:t>
      </w:r>
      <w:r>
        <w:t xml:space="preserve">C</w:t>
      </w:r>
      <w:r>
        <w:t xml:space="preserve">â</w:t>
      </w:r>
      <w:r>
        <w:t xml:space="preserve">mara dos Deputados em 2010 e 2014.</w:t>
      </w:r>
      <w:r>
        <w:t xml:space="preserve"> </w:t>
      </w:r>
      <w:r>
        <w:rPr>
          <w:bCs/>
          <w:b/>
        </w:rPr>
        <w:t xml:space="preserve">Revista Brasileira de Ci</w:t>
      </w:r>
      <w:r>
        <w:rPr>
          <w:bCs/>
          <w:b/>
        </w:rPr>
        <w:t xml:space="preserve">ê</w:t>
      </w:r>
      <w:r>
        <w:rPr>
          <w:bCs/>
          <w:b/>
        </w:rPr>
        <w:t xml:space="preserve">ncia Pol</w:t>
      </w:r>
      <w:r>
        <w:rPr>
          <w:bCs/>
          <w:b/>
        </w:rPr>
        <w:t xml:space="preserve">ı́</w:t>
      </w:r>
      <w:r>
        <w:rPr>
          <w:bCs/>
          <w:b/>
        </w:rPr>
        <w:t xml:space="preserve">tica</w:t>
      </w:r>
      <w:r>
        <w:t xml:space="preserve">, p. 75–110, 2017.</w:t>
      </w:r>
    </w:p>
    <w:bookmarkEnd w:id="36"/>
    <w:bookmarkStart w:id="37" w:name="ref-speck2015perfil"/>
    <w:p>
      <w:pPr>
        <w:pStyle w:val="Bibliography"/>
      </w:pPr>
      <w:r>
        <w:t xml:space="preserve">SPECK, B.; MARCIANO, J. L. O perfil da C</w:t>
      </w:r>
      <w:r>
        <w:t xml:space="preserve">â</w:t>
      </w:r>
      <w:r>
        <w:t xml:space="preserve">mara dos Deputados pela</w:t>
      </w:r>
      <w:r>
        <w:t xml:space="preserve"> </w:t>
      </w:r>
      <w:r>
        <w:t xml:space="preserve">ó</w:t>
      </w:r>
      <w:r>
        <w:t xml:space="preserve">tica do financiamento privado das campanhas.</w:t>
      </w:r>
      <w:r>
        <w:t xml:space="preserve"> </w:t>
      </w:r>
      <w:r>
        <w:rPr>
          <w:bCs/>
          <w:b/>
        </w:rPr>
        <w:t xml:space="preserve">Legislativo P</w:t>
      </w:r>
      <w:r>
        <w:rPr>
          <w:bCs/>
          <w:b/>
        </w:rPr>
        <w:t xml:space="preserve">ó</w:t>
      </w:r>
      <w:r>
        <w:rPr>
          <w:bCs/>
          <w:b/>
        </w:rPr>
        <w:t xml:space="preserve">s-1988. Reflex</w:t>
      </w:r>
      <w:r>
        <w:rPr>
          <w:bCs/>
          <w:b/>
        </w:rPr>
        <w:t xml:space="preserve">õ</w:t>
      </w:r>
      <w:r>
        <w:rPr>
          <w:bCs/>
          <w:b/>
        </w:rPr>
        <w:t xml:space="preserve">es e perspectivas. Bras</w:t>
      </w:r>
      <w:r>
        <w:rPr>
          <w:bCs/>
          <w:b/>
        </w:rPr>
        <w:t xml:space="preserve">ı́</w:t>
      </w:r>
      <w:r>
        <w:rPr>
          <w:bCs/>
          <w:b/>
        </w:rPr>
        <w:t xml:space="preserve">lia, C</w:t>
      </w:r>
      <w:r>
        <w:rPr>
          <w:bCs/>
          <w:b/>
        </w:rPr>
        <w:t xml:space="preserve">â</w:t>
      </w:r>
      <w:r>
        <w:rPr>
          <w:bCs/>
          <w:b/>
        </w:rPr>
        <w:t xml:space="preserve">mara dos Deputados: Edi</w:t>
      </w:r>
      <w:r>
        <w:rPr>
          <w:bCs/>
          <w:b/>
        </w:rPr>
        <w:t xml:space="preserve">ç</w:t>
      </w:r>
      <w:r>
        <w:rPr>
          <w:bCs/>
          <w:b/>
        </w:rPr>
        <w:t xml:space="preserve">õ</w:t>
      </w:r>
      <w:r>
        <w:rPr>
          <w:bCs/>
          <w:b/>
        </w:rPr>
        <w:t xml:space="preserve">es C</w:t>
      </w:r>
      <w:r>
        <w:rPr>
          <w:bCs/>
          <w:b/>
        </w:rPr>
        <w:t xml:space="preserve">â</w:t>
      </w:r>
      <w:r>
        <w:rPr>
          <w:bCs/>
          <w:b/>
        </w:rPr>
        <w:t xml:space="preserve">mara</w:t>
      </w:r>
      <w:r>
        <w:t xml:space="preserve">, p. 267–292, 2015.</w:t>
      </w:r>
    </w:p>
    <w:bookmarkEnd w:id="37"/>
    <w:bookmarkEnd w:id="38"/>
    <w:p>
      <w:r>
        <w:br w:type="page"/>
      </w:r>
    </w:p>
    <w:bookmarkEnd w:id="39"/>
    <w:bookmarkStart w:id="40" w:name="apêndice"/>
    <w:p>
      <w:pPr>
        <w:pStyle w:val="Ttulo1"/>
      </w:pPr>
      <w:r>
        <w:t xml:space="preserve">Apêndice</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(0.081)</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Oposição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(0.047)</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(0.043)</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1193.4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3001.2</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-157.692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RMSE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0"/>
                <w:szCs w:val="20"/>
                <w:color w:val="000000"/>
              </w:rPr>
              <w:t xml:space="preserve">* p &lt; 0.05, ** p &lt; 0.01, *** p &lt; 0.001</w:t>
            </w:r>
          </w:p>
        </w:tc>
      </w:tr>
    </w:tbl>
    <w:bookmarkEnd w:id="40"/>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image" Target="media/file571036a25ac7.png"/>
<Relationship Id="rId10" Type="http://schemas.openxmlformats.org/officeDocument/2006/relationships/image" Target="media/file57105aaf542c.png"/>
<Relationship Id="rId11" Type="http://schemas.openxmlformats.org/officeDocument/2006/relationships/image" Target="media/file5710f411270.png"/>
<Relationship Id="rId12" Type="http://schemas.openxmlformats.org/officeDocument/2006/relationships/image" Target="media/file571067ef5abd.png"/>
<Relationship Id="rId13" Type="http://schemas.openxmlformats.org/officeDocument/2006/relationships/image" Target="media/file5710439111c.png"/>
<Relationship Id="rId14" Type="http://schemas.openxmlformats.org/officeDocument/2006/relationships/image" Target="media/file571091c7c21.png"/>
<Relationship Id="rId15" Type="http://schemas.openxmlformats.org/officeDocument/2006/relationships/image" Target="media/file571037e8ac6.png"/>
<Relationship Id="rId16" Type="http://schemas.openxmlformats.org/officeDocument/2006/relationships/image" Target="media/file571015245650.png"/>
<Relationship Id="rId17" Type="http://schemas.openxmlformats.org/officeDocument/2006/relationships/image" Target="media/file5710674c2834.png"/>
<Relationship Id="rId18" Type="http://schemas.openxmlformats.org/officeDocument/2006/relationships/image" Target="media/file571054a04c5a.png"/>
<Relationship Id="rId19" Type="http://schemas.openxmlformats.org/officeDocument/2006/relationships/image" Target="media/file5710606a7a2a.png"/>
<Relationship Id="rId20" Type="http://schemas.openxmlformats.org/officeDocument/2006/relationships/image" Target="media/file57104b5a3343.png"/>
<Relationship Id="rId21" Type="http://schemas.openxmlformats.org/officeDocument/2006/relationships/image" Target="media/file571037f02cdd.png"/>
</Relationships>

</file>

<file path=word/_rels/footnotes.xml.rels><?xml version="1.0" encoding="UTF-8"?><Relationships xmlns="http://schemas.openxmlformats.org/package/2006/relationships" />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2022-07-18T20:30:07Z</dcterms:created>
  <dcterms:modified xsi:type="dcterms:W3CDTF">2022-07-18T17:30:08Z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18 jul, 2022)</vt:lpwstr>
  </property>
  <property fmtid="{D5CDD505-2E9C-101B-9397-08002B2CF9AE}" pid="5" name="output">
    <vt:lpwstr/>
  </property>
</Properties>
</file>