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16DD" w14:textId="77777777" w:rsidR="00D34A93" w:rsidRDefault="00D34A93">
      <w:r>
        <w:t xml:space="preserve">1. Choose a Platform Select software that offers secure payment processing (like Stripe or PayPal integration), is mobile-responsive, and allows for custom branding. Popular options include </w:t>
      </w:r>
      <w:proofErr w:type="spellStart"/>
      <w:r>
        <w:t>Donorbox</w:t>
      </w:r>
      <w:proofErr w:type="spellEnd"/>
      <w:r>
        <w:t xml:space="preserve">, </w:t>
      </w:r>
      <w:proofErr w:type="spellStart"/>
      <w:r>
        <w:t>Givebutter</w:t>
      </w:r>
      <w:proofErr w:type="spellEnd"/>
      <w:r>
        <w:t xml:space="preserve">, </w:t>
      </w:r>
      <w:proofErr w:type="spellStart"/>
      <w:r>
        <w:t>Funraise</w:t>
      </w:r>
      <w:proofErr w:type="spellEnd"/>
      <w:r>
        <w:t>, and Give Lively.</w:t>
      </w:r>
    </w:p>
    <w:p w14:paraId="1C04EB56" w14:textId="40B3085D" w:rsidR="00D34A93" w:rsidRDefault="00D34A93">
      <w:r>
        <w:t>2. Design Your Form Your donation page should be simple and clear. Best practices include:&lt;</w:t>
      </w:r>
      <w:proofErr w:type="spellStart"/>
      <w:r>
        <w:t>ul</w:t>
      </w:r>
      <w:proofErr w:type="spellEnd"/>
      <w:r>
        <w:t>&gt;&lt;li&gt;Suggested Giving Amounts (e.g., “$50 provides three meals”).&lt;/li&gt;&lt;li&gt;Recurring Gift Option (e.g., “Make this a monthly gift”).&lt;/li&gt;&lt;li&gt;Minimal Required Fields (only name, email, and payment info).&lt;/li&gt;&lt;li&gt;Impact Statement explaining why they should give.&lt;/li&gt;&lt;/</w:t>
      </w:r>
      <w:proofErr w:type="spellStart"/>
      <w:r>
        <w:t>ul</w:t>
      </w:r>
      <w:proofErr w:type="spellEnd"/>
      <w:r>
        <w:t>&gt;</w:t>
      </w:r>
    </w:p>
    <w:p w14:paraId="03C50DEC" w14:textId="77777777" w:rsidR="00D34A93" w:rsidRDefault="00D34A93">
      <w:r>
        <w:t>3. Integration Embed the donation form directly on your website instead of linking away, which improves conversion rates. Integrate it with your Donor Management/CRM tool to track donor history.</w:t>
      </w:r>
    </w:p>
    <w:p w14:paraId="39B3DBBE" w14:textId="77777777" w:rsidR="00D34A93" w:rsidRDefault="00D34A93">
      <w:r>
        <w:t>4. Security Ensure the platform uses SSL encryption and a secure payment processor (like Stripe or PayPal) to protect sensitive donor data.</w:t>
      </w:r>
    </w:p>
    <w:p w14:paraId="4401ED07" w14:textId="7A0195C5" w:rsidR="00D34A93" w:rsidRDefault="00D34A93">
      <w:r>
        <w:t>5. Promotion Place clear “Donate Now” buttons across your website and share the link on social media and in email campaigns.</w:t>
      </w:r>
    </w:p>
    <w:p w14:paraId="7DE293F9" w14:textId="77777777" w:rsidR="0050717A" w:rsidRDefault="0050717A"/>
    <w:p w14:paraId="55FFD1CA" w14:textId="18F101DC" w:rsidR="0050717A" w:rsidRDefault="0050717A">
      <w:r>
        <w:t>Under $250 Donor’s record is sufficient (e.g., cancelled check, bank statement, or credit card receipt). None legally required from the nonprofit, but best practice is to always send a thank-you.</w:t>
      </w:r>
    </w:p>
    <w:p w14:paraId="5220034E" w14:textId="77777777" w:rsidR="0050717A" w:rsidRDefault="0050717A">
      <w:r>
        <w:t>$250 or More A contemporaneous written acknowledgment from the nonprofit is required. The acknowledgment must include: &lt;</w:t>
      </w:r>
      <w:proofErr w:type="spellStart"/>
      <w:r>
        <w:t>ul</w:t>
      </w:r>
      <w:proofErr w:type="spellEnd"/>
      <w:r>
        <w:t>&gt;&lt;li&gt;The Name of the Organization (and EIN is helpful).&lt;/li&gt;&lt;li&gt;The Amount of Cash contributed and/or a Description of Non-Cash Property.&lt;/li&gt;&lt;li&gt;A statement that no goods or services were provided in return for the gift (if applicable).&lt;/li&gt;&lt;/</w:t>
      </w:r>
      <w:proofErr w:type="spellStart"/>
      <w:r>
        <w:t>ul</w:t>
      </w:r>
      <w:proofErr w:type="spellEnd"/>
      <w:r>
        <w:t>&gt;</w:t>
      </w:r>
    </w:p>
    <w:p w14:paraId="312BB33C" w14:textId="62F43ADD" w:rsidR="0050717A" w:rsidRDefault="0050717A">
      <w:r>
        <w:t>“Quid Pro Quo” Gifts ($75+ contribution where the donor receives goods/services, like a gala ticket) A written disclosure is required stating that the deductible amount is limited to the excess of the contribution over the value of the goods or services provided. A good-faith estimate of the fair market value of the goods or services received by the donor.</w:t>
      </w:r>
    </w:p>
    <w:p w14:paraId="2490F0F1" w14:textId="77777777" w:rsidR="0050717A" w:rsidRDefault="0050717A"/>
    <w:p w14:paraId="0559B079" w14:textId="2528C8AC" w:rsidR="00431742" w:rsidRDefault="00431742">
      <w:r>
        <w:t>Contemporaneous: The donor must receive the acknowledgment by the earlier of the date they file their tax return or the return’s due date (including extensions). Nonprofits often send annual summary statements by January 31</w:t>
      </w:r>
      <w:r w:rsidRPr="00431742">
        <w:rPr>
          <w:vertAlign w:val="superscript"/>
        </w:rPr>
        <w:t>st</w:t>
      </w:r>
      <w:r>
        <w:t>.</w:t>
      </w:r>
    </w:p>
    <w:p w14:paraId="5CD3C91A" w14:textId="628F47A7" w:rsidR="00431742" w:rsidRDefault="00431742">
      <w:r>
        <w:t>Non-Cash Gifts: The nonprofit should describe the property (e.g., “one used laptop computer”) but must not provide a value for the property; the donor is responsible for valuation and appraisal (especially for gifts over $5,000).</w:t>
      </w:r>
    </w:p>
    <w:p w14:paraId="1F57088B" w14:textId="0CC19891" w:rsidR="00D34A93" w:rsidRDefault="00D34A93"/>
    <w:sectPr w:rsidR="00D34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93"/>
    <w:rsid w:val="002C18BE"/>
    <w:rsid w:val="003F7ED1"/>
    <w:rsid w:val="00431742"/>
    <w:rsid w:val="0050717A"/>
    <w:rsid w:val="00A91AC0"/>
    <w:rsid w:val="00B20B07"/>
    <w:rsid w:val="00D3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52A9D"/>
  <w15:chartTrackingRefBased/>
  <w15:docId w15:val="{884279CE-2345-3444-8ECC-8D4115F9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93"/>
    <w:rPr>
      <w:rFonts w:eastAsiaTheme="majorEastAsia" w:cstheme="majorBidi"/>
      <w:color w:val="272727" w:themeColor="text1" w:themeTint="D8"/>
    </w:rPr>
  </w:style>
  <w:style w:type="paragraph" w:styleId="Title">
    <w:name w:val="Title"/>
    <w:basedOn w:val="Normal"/>
    <w:next w:val="Normal"/>
    <w:link w:val="TitleChar"/>
    <w:uiPriority w:val="10"/>
    <w:qFormat/>
    <w:rsid w:val="00D3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93"/>
    <w:pPr>
      <w:spacing w:before="160"/>
      <w:jc w:val="center"/>
    </w:pPr>
    <w:rPr>
      <w:i/>
      <w:iCs/>
      <w:color w:val="404040" w:themeColor="text1" w:themeTint="BF"/>
    </w:rPr>
  </w:style>
  <w:style w:type="character" w:customStyle="1" w:styleId="QuoteChar">
    <w:name w:val="Quote Char"/>
    <w:basedOn w:val="DefaultParagraphFont"/>
    <w:link w:val="Quote"/>
    <w:uiPriority w:val="29"/>
    <w:rsid w:val="00D34A93"/>
    <w:rPr>
      <w:i/>
      <w:iCs/>
      <w:color w:val="404040" w:themeColor="text1" w:themeTint="BF"/>
    </w:rPr>
  </w:style>
  <w:style w:type="paragraph" w:styleId="ListParagraph">
    <w:name w:val="List Paragraph"/>
    <w:basedOn w:val="Normal"/>
    <w:uiPriority w:val="34"/>
    <w:qFormat/>
    <w:rsid w:val="00D34A93"/>
    <w:pPr>
      <w:ind w:left="720"/>
      <w:contextualSpacing/>
    </w:pPr>
  </w:style>
  <w:style w:type="character" w:styleId="IntenseEmphasis">
    <w:name w:val="Intense Emphasis"/>
    <w:basedOn w:val="DefaultParagraphFont"/>
    <w:uiPriority w:val="21"/>
    <w:qFormat/>
    <w:rsid w:val="00D34A93"/>
    <w:rPr>
      <w:i/>
      <w:iCs/>
      <w:color w:val="0F4761" w:themeColor="accent1" w:themeShade="BF"/>
    </w:rPr>
  </w:style>
  <w:style w:type="paragraph" w:styleId="IntenseQuote">
    <w:name w:val="Intense Quote"/>
    <w:basedOn w:val="Normal"/>
    <w:next w:val="Normal"/>
    <w:link w:val="IntenseQuoteChar"/>
    <w:uiPriority w:val="30"/>
    <w:qFormat/>
    <w:rsid w:val="00D34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A93"/>
    <w:rPr>
      <w:i/>
      <w:iCs/>
      <w:color w:val="0F4761" w:themeColor="accent1" w:themeShade="BF"/>
    </w:rPr>
  </w:style>
  <w:style w:type="character" w:styleId="IntenseReference">
    <w:name w:val="Intense Reference"/>
    <w:basedOn w:val="DefaultParagraphFont"/>
    <w:uiPriority w:val="32"/>
    <w:qFormat/>
    <w:rsid w:val="00D34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Crump</dc:creator>
  <cp:keywords/>
  <dc:description/>
  <cp:lastModifiedBy>Tonya Crump</cp:lastModifiedBy>
  <cp:revision>2</cp:revision>
  <dcterms:created xsi:type="dcterms:W3CDTF">2026-01-16T16:17:00Z</dcterms:created>
  <dcterms:modified xsi:type="dcterms:W3CDTF">2026-01-16T16:17:00Z</dcterms:modified>
</cp:coreProperties>
</file>