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o="urn:schemas-microsoft-com:office:office" xmlns:v="urn:schemas-microsoft-com:vml" xmlns:m="http://schemas.openxmlformats.org/officeDocument/2006/math" xmlns:ve="http://schemas.openxmlformats.org/markup-compatibility/2006" xmlns:wne="http://schemas.microsoft.com/office/word/2006/wordml" xmlns:cp="http://schemas.openxmlformats.org/package/2006/metadata/core-properties" xmlns:dc="http://purl.org/dc/elements/1.1/" xmlns:dcterms="http://purl.org/dc/terms/" xmlns:dcmitype="http://purl.org/dc/dcmitype/" xmlns:xsi="http://www.w3.org/2001/XMLSchema-instance" xmlns:ct="http://schemas.openxmlformats.org/package/2006/content-types" xmlns:wp14="http://schemas.microsoft.com/office/word/2010/wordprocessingDrawing" xmlns:a14="http://schemas.microsoft.com/office/drawing/2010/main" xmlns:a16="http://schemas.microsoft.com/office/drawing/2014/main" xmlns:a16svg="http://schemas.microsoft.com/office/drawing/2016/SVG/main" xmlns:adec="http://schemas.microsoft.com/office/drawing/2017/decorative" xmlns:wpc="http://schemas.microsoft.com/office/word/2010/wordprocessingCanvas" xmlns:w14="http://schemas.microsoft.com/office/word/2010/wordml" xmlns:w15="http://schemas.microsoft.com/office/word/2012/wordml" xmlns:w16="http://schemas.microsoft.com/office/word/2018/wordml" xmlns:w16se="http://schemas.microsoft.com/office/word/2015/wordml/symex" xmlns:w16cid="http://schemas.microsoft.com/office/word/2016/wordml/cid" xmlns:w16cex="http://schemas.microsoft.com/office/word/2018/wordml/cex" xmlns:w16sdtdh="http://schemas.microsoft.com/office/word/2020/wordml/sdtdatahash" mc:Ignorable="w14 w15 w16se w16cid w16 w16cex w16sdtdh wp14 a14 a16 a16svg adec wpc">
  <w:body>
    <w:p w14:paraId="6B778D68" w14:textId="5ECCACAC">
      <w:pPr>
        <w:pStyle w:val="Heading1"/>
        <w:outlineLvl w:val="0"/>
      </w:pPr>
      <w:r>
        <w:t>Pyramid MoA for Copilot CLI</w:t>
      </w:r>
    </w:p>
    <w:p w14:paraId="B9CEBE17" w14:textId="B5B4DB7A">
      <w:pPr>
        <w:spacing w:after="240"/>
      </w:pPr>
      <w:r>
        <w:rPr>
          <w:i/>
          <w:color w:val="595959"/>
          <w:sz w:val="22"/>
          <w:szCs w:val="22"/>
        </w:rPr>
        <w:t>A hierarchical mixture-of-agents router that picks the cheapest viable model for each subtask, verifies the answer, and only escalates when it is provably worth it.</w:t>
      </w:r>
    </w:p>
    <w:p w14:paraId="9203B8C6" w14:textId="FC8D83D0">
      <w:pPr>
        <w:spacing w:after="360"/>
      </w:pPr>
      <w:r>
        <w:rPr>
          <w:color w:val="808080"/>
          <w:sz w:val="18"/>
          <w:szCs w:val="18"/>
        </w:rPr>
        <w:t>Document version 1.0 — generated 2026-04-23 — based on plugin v0.2.0 and the v0.2.0 smoke benchmark.</w:t>
      </w:r>
    </w:p>
    <w:p w14:paraId="E1DC4278" w14:textId="A779D5C5">
      <w:pPr>
        <w:pStyle w:val="Heading2"/>
        <w:outlineLvl w:val="1"/>
      </w:pPr>
      <w:r>
        <w:t>1. What the plugin is</w:t>
      </w:r>
    </w:p>
    <w:p w14:paraId="100DECDE" w14:textId="43248005">
      <w:r>
        <w:t>The pyramid plugin (“pyramid-moa” on GitHub, slash command /pyramid:pyramid in Copilot CLI) is a declarative Copilot CLI plugin that brings the Pyramid Mixture-of-Agents pattern from Khaled, 2026 (arXiv:2602.19509) to your terminal.</w:t>
      </w:r>
    </w:p>
    <w:p w14:paraId="6A9CE162" w14:textId="740D4914">
      <w:pPr>
        <w:spacing w:after="240"/>
      </w:pPr>
      <w:r>
        <w:t>Instead of always calling a single large model, it decomposes the user’s task into a directed acyclic graph (DAG) of subtasks, dispatches each subtask to the cheapest model tier likely to solve it, and uses an independent verifier plus a Hansen–Zilberstein Value-of-Computation (VoC) rule to decide whether escalating to a more expensive model is worth the additional spend.</w:t>
      </w:r>
    </w:p>
    <w:p w14:paraId="D51C53B1" w14:textId="07063C77">
      <w:pPr>
        <w:spacing w:after="360"/>
      </w:pPr>
      <w:r>
        <w:t>The plugin is purely declarative: only Markdown and JSON files. Behaviour is implemented by the host Copilot CLI agent following the SKILL instructions; there is no MCP server, no hooks, and no external runtime. Dispatch happens through the CLI’s built-in task tool, with the model chosen per call.</w:t>
      </w:r>
    </w:p>
    <w:p w14:paraId="189C0204" w14:textId="3D4F259A">
      <w:pPr>
        <w:pStyle w:val="Heading2"/>
        <w:outlineLvl w:val="1"/>
      </w:pPr>
      <w:r>
        <w:t>2. How it works</w:t>
      </w:r>
    </w:p>
    <w:p w14:paraId="0378AAC7" w14:textId="E589B749">
      <w:pPr>
        <w:spacing w:after="240"/>
      </w:pPr>
      <w:r>
        <w:t>Every invocation flows through three skills (decompose → orchestrate → aggregate) plus an independent verifier on each subtask. The diagram below shows a single subtask’s journey.</w:t>
      </w:r>
    </w:p>
    <w:p w14:paraId="837BD20F" w14:textId="C198D3C6">
      <w:r>
        <w:drawing>
          <wp:inline distT="0" distB="0" distL="0" distR="0">
            <wp:extent cx="5943600" cy="2743200"/>
            <wp:docPr id="1" name="diag1-pipeline.png" descr="End-to-end pipeline: orchestrate → decompose → per-subtask solver loop → aggregate."/>
            <a:graphic>
              <a:graphicData uri="http://schemas.openxmlformats.org/drawingml/2006/picture">
                <pic:pic>
                  <pic:nvPicPr>
                    <pic:cNvPr id="1" name="diag1-pipeline.png" descr="End-to-end pipeline: orchestrate → decompose → per-subtask solver loop → aggregate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4B11921" w14:textId="F84AD74E">
      <w:pPr>
        <w:spacing w:after="300"/>
        <w:jc w:val="center"/>
      </w:pPr>
      <w:r>
        <w:rPr>
          <w:i/>
          <w:color w:val="595959"/>
          <w:sz w:val="18"/>
          <w:szCs w:val="18"/>
        </w:rPr>
        <w:t>Figure 1. End-to-end pipeline. The verifier runs after every solver dispatch. Escalation is conditional on both confidence and the VoC rule.</w:t>
      </w:r>
    </w:p>
    <w:p w14:paraId="F6811795" w14:textId="11A7F7CA">
      <w:pPr>
        <w:pStyle w:val="Heading3"/>
        <w:outlineLvl w:val="2"/>
      </w:pPr>
      <w:r>
        <w:t>2.1 Tiers and tier mapping</w:t>
      </w:r>
    </w:p>
    <w:p w14:paraId="6B51D6C1" w14:textId="4826E4D8">
      <w:pPr>
        <w:spacing w:after="160"/>
      </w:pPr>
      <w:r>
        <w:t>Three solver tiers plus a dedicated verifier tier (V). The default claude track binds tiers to Anthropic models; gpt and mixed tracks are available with placeholder multipliers pending calibration.</w:t>
      </w:r>
    </w:p>
    <w:tbl>
      <w:tblPr>
        <w:tblW w:w="8500" w:type="dxa"/>
        <w:tblBorders>
          <w:top w:val="single" w:sz="4" w:color="BFBFBF"/>
          <w:bottom w:val="single" w:sz="4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00"/>
        <w:gridCol w:w="2400"/>
        <w:gridCol w:w="2400"/>
        <w:gridCol w:w="2500"/>
      </w:tblGrid>
      <w:tr>
        <w:trPr>
          <w:tblHeader/>
        </w:trPr>
        <w:tc>
          <w:tcPr>
            <w:tcW w:w="24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9F652180" w14:textId="8516DC82">
            <w:r>
              <w:rPr>
                <w:b/>
                <w:color w:val="FFFFFF"/>
              </w:rPr>
              <w:t>Tier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9170AB63" w14:textId="4D48A8EC">
            <w:r>
              <w:rPr>
                <w:b/>
                <w:color w:val="FFFFFF"/>
              </w:rPr>
              <w:t>claude track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22E0F51" w14:textId="B72CAC60">
            <w:r>
              <w:rPr>
                <w:b/>
                <w:color w:val="FFFFFF"/>
              </w:rPr>
              <w:t>gpt track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C851F4DD" w14:textId="5801AAD8">
            <w:r>
              <w:rPr>
                <w:b/>
                <w:color w:val="FFFFFF"/>
              </w:rPr>
              <w:t>mixed</w:t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DA3269A3" w14:textId="0C66EA8A">
            <w:r>
              <w:t>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F1DBC4D7" w14:textId="D86409E4">
            <w:r>
              <w:t>claude-haiku-4.5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E8CFE2ED" w14:textId="6FFA4C8C">
            <w:r>
              <w:t>gpt-5-mini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F0E11D80" w14:textId="225489C9">
            <w:r>
              <w:t>claude-haiku-4.5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DC13E412" w14:textId="B8F4DC16">
            <w:r>
              <w:t>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EC3E2153" w14:textId="5DC9C8A2">
            <w:r>
              <w:t>claude-sonnet-4.6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5E05A9CD" w14:textId="DD6E0092">
            <w:r>
              <w:t>gpt-5.4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94DC84DE" w14:textId="DC9BBA4F">
            <w:r>
              <w:t>gpt-5.4</w:t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9D0626F4" w14:textId="4B957782">
            <w:r>
              <w:t>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CC8860E2" w14:textId="0DE8388C">
            <w:r>
              <w:t>claude-opus-4.7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CA6717C4" w14:textId="F64368E3">
            <w:r>
              <w:t>gpt-5.3-codex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F18CBD58" w14:textId="A2B30B90">
            <w:r>
              <w:t>claude-opus-4.7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ECDBABCC" w14:textId="04DF673B">
            <w:r>
              <w:t>V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F1BC8534" w14:textId="C5D0CD6F">
            <w:r>
              <w:t>claude-haiku-4.5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E443F4B3" w14:textId="743915E0">
            <w:r>
              <w:t>gpt-5-mini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475CEF9D" w14:textId="C8204EB6">
            <w:r>
              <w:t>claude-haiku-4.5</w:t>
            </w:r>
          </w:p>
        </w:tc>
      </w:tr>
    </w:tbl>
    <w:p w14:paraId="AA650971" w14:textId="8301996B">
      <w:pPr>
        <w:spacing w:after="200"/>
      </w:pPr>
    </w:p>
    <w:p w14:paraId="540BD6E2" w14:textId="A6684391">
      <w:pPr>
        <w:pStyle w:val="Heading2"/>
        <w:outlineLvl w:val="1"/>
      </w:pPr>
      <w:r>
        <w:t>3. Cost model</w:t>
      </w:r>
    </w:p>
    <w:p w14:paraId="67CB772C" w14:textId="670196B1">
      <w:pPr>
        <w:spacing w:after="120"/>
      </w:pPr>
      <w:r>
        <w:t>As of v0.2.0, every cost number reported by the plugin is a token-weighted unit (tw-unit), defined as:</w:t>
      </w:r>
    </w:p>
    <w:p w14:paraId="E41D8D1A" w14:textId="38D388AF">
      <w:pPr>
        <w:jc w:val="center"/>
      </w:pPr>
      <w:r>
        <w:rPr>
          <w:b/>
          <w:color w:val="2E75B6"/>
          <w:rFonts w:ascii="Consolas" w:hAnsi="Consolas"/>
          <w:sz w:val="22"/>
          <w:szCs w:val="22"/>
        </w:rPr>
        <w:t>cost(call) = (input_tokens + output_tokens) × multiplier(model)</w:t>
      </w:r>
    </w:p>
    <w:p w14:paraId="AEE97C4A" w14:textId="2D0B249C">
      <w:pPr>
        <w:spacing w:after="160"/>
      </w:pPr>
    </w:p>
    <w:p w14:paraId="A5691F4F" w14:textId="00477B9D">
      <w:r>
        <w:drawing>
          <wp:inline distT="0" distB="0" distL="0" distR="0">
            <wp:extent cx="5943600" cy="2743200"/>
            <wp:docPr id="2" name="diag2-cost-model.png" descr="Cost-model formula and multiplier table."/>
            <a:graphic>
              <a:graphicData uri="http://schemas.openxmlformats.org/drawingml/2006/picture">
                <pic:pic>
                  <pic:nvPicPr>
                    <pic:cNvPr id="2" name="diag2-cost-model.png" descr="Cost-model formula and multiplier table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CC48659" w14:textId="4E1DC269">
      <w:pPr>
        <w:spacing w:after="300"/>
        <w:jc w:val="center"/>
      </w:pPr>
      <w:r>
        <w:rPr>
          <w:i/>
          <w:color w:val="595959"/>
          <w:sz w:val="18"/>
          <w:szCs w:val="18"/>
        </w:rPr>
        <w:t>Figure 2. Token-weighted cost formula and Claude-track multipliers. The new ratio (1 : 3 : 21) is proportional to actual model spend, replacing the legacy ordinal table (1 : 5 : 25) used pre-0.2.0.</w:t>
      </w:r>
    </w:p>
    <w:p w14:paraId="D56AA820" w14:textId="A83741A1">
      <w:pPr>
        <w:spacing w:after="160"/>
      </w:pPr>
      <w:r>
        <w:t>The Hansen–Zilberstein VoC rule decides whether to spend the extra budget on escalation:</w:t>
      </w:r>
    </w:p>
    <w:p w14:paraId="FC311115" w14:textId="62B0FC44">
      <w:r>
        <w:drawing>
          <wp:inline distT="0" distB="0" distL="0" distR="0">
            <wp:extent cx="5943600" cy="2743200"/>
            <wp:docPr id="3" name="diag4-voc.png" descr="VoC decision flow."/>
            <a:graphic>
              <a:graphicData uri="http://schemas.openxmlformats.org/drawingml/2006/picture">
                <pic:pic>
                  <pic:nvPicPr>
                    <pic:cNvPr id="3" name="diag4-voc.png" descr="VoC decision flow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5DD4" w14:textId="BB2831E8">
      <w:pPr>
        <w:spacing w:after="300"/>
        <w:jc w:val="center"/>
      </w:pPr>
      <w:r>
        <w:rPr>
          <w:i/>
          <w:color w:val="595959"/>
          <w:sz w:val="18"/>
          <w:szCs w:val="18"/>
        </w:rPr>
        <w:t>Figure 3. Verifier and Value-of-Computation decision flow. Escalation only happens when expected accuracy gain, scaled by value_of_correctness, exceeds the cost of the next tier.</w:t>
      </w:r>
    </w:p>
    <w:p w14:paraId="FEB66CB7" w14:textId="AEC08931">
      <w:pPr>
        <w:pStyle w:val="Heading2"/>
        <w:outlineLvl w:val="1"/>
      </w:pPr>
      <w:r>
        <w:t>4. Measurable impact</w:t>
      </w:r>
    </w:p>
    <w:p w14:paraId="AD7261A0" w14:textId="27C2E69D">
      <w:pPr>
        <w:spacing w:after="240"/>
      </w:pPr>
      <w:r>
        <w:t>Numbers in this section are taken verbatim from the v0.2.0 smoke benchmark (3 of 12 canonical tasks, n=1 each). The full results, methodology, and discovered defects are in docs/benchmarks/baseline-metrics.md in the repository.</w:t>
      </w:r>
    </w:p>
    <w:p w14:paraId="848B7C66" w14:textId="A9D9B6FC">
      <w:pPr>
        <w:pStyle w:val="Heading3"/>
        <w:outlineLvl w:val="2"/>
      </w:pPr>
      <w:r>
        <w:t>4.1 Per-task cost</w:t>
      </w:r>
    </w:p>
    <w:p w14:paraId="78CEB680" w14:textId="45ED02C3">
      <w:r>
        <w:drawing>
          <wp:inline distT="0" distB="0" distL="0" distR="0">
            <wp:extent cx="5943600" cy="2743200"/>
            <wp:docPr id="4" name="diag3-savings.png" descr="Bar chart comparing pyramid cost vs always-tier-3 across 3 smoke tasks."/>
            <a:graphic>
              <a:graphicData uri="http://schemas.openxmlformats.org/drawingml/2006/picture">
                <pic:pic>
                  <pic:nvPicPr>
                    <pic:cNvPr id="4" name="diag3-savings.png" descr="Bar chart comparing pyramid cost vs always-tier-3 across 3 smoke task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C2110B1" w14:textId="3B198FA7">
      <w:pPr>
        <w:spacing w:after="240"/>
        <w:jc w:val="center"/>
      </w:pPr>
      <w:r>
        <w:rPr>
          <w:i/>
          <w:color w:val="595959"/>
          <w:sz w:val="18"/>
          <w:szCs w:val="18"/>
        </w:rPr>
        <w:t>Figure 4. Pyramid MoA cost (left bar) vs an always-tier-3 baseline (right bar) for each smoke-benchmark task. Lower is better.</w:t>
      </w:r>
    </w:p>
    <w:tbl>
      <w:tblPr>
        <w:tblW w:w="9000" w:type="dxa"/>
        <w:tblBorders>
          <w:top w:val="single" w:sz="4" w:color="BFBFBF"/>
          <w:bottom w:val="single" w:sz="4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1500"/>
        <w:gridCol w:w="1500"/>
        <w:gridCol w:w="1700"/>
        <w:gridCol w:w="1900"/>
      </w:tblGrid>
      <w:tr>
        <w:trPr>
          <w:tblHeader/>
        </w:trPr>
        <w:tc>
          <w:tcPr>
            <w:tcW w:w="17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CA1FBC53" w14:textId="702A8BBB">
            <w:r>
              <w:rPr>
                <w:b/>
                <w:color w:val="FFFFFF"/>
              </w:rPr>
              <w:t>Task</w:t>
            </w:r>
          </w:p>
        </w:tc>
        <w:tc>
          <w:tcPr>
            <w:tcW w:w="17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C46A6913" w14:textId="8C48A65B">
            <w:r>
              <w:rPr>
                <w:b/>
                <w:color w:val="FFFFFF"/>
              </w:rPr>
              <w:t>Pyramid cost (tw)</w:t>
            </w:r>
          </w:p>
        </w:tc>
        <w:tc>
          <w:tcPr>
            <w:tcW w:w="17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E8E9765" w14:textId="5EA2ED1F">
            <w:r>
              <w:rPr>
                <w:b/>
                <w:color w:val="FFFFFF"/>
              </w:rPr>
              <w:t>Always-T3 cost (tw)</w:t>
            </w:r>
          </w:p>
        </w:tc>
        <w:tc>
          <w:tcPr>
            <w:tcW w:w="17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DBFF9485" w14:textId="0B0D4536">
            <w:r>
              <w:rPr>
                <w:b/>
                <w:color w:val="FFFFFF"/>
              </w:rPr>
              <w:t>Saved</w:t>
            </w:r>
          </w:p>
        </w:tc>
        <w:tc>
          <w:tcPr>
            <w:tcW w:w="17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F738688E" w14:textId="879004A3">
            <w:r>
              <w:rPr>
                <w:b/>
                <w:color w:val="FFFFFF"/>
              </w:rPr>
              <w:t>Wall-clock</w:t>
            </w:r>
          </w:p>
        </w:tc>
      </w:tr>
      <w:tr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35DFD1A0" w14:textId="BCAADA97">
            <w:r>
              <w:t>#1 list MD files (read)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CD03F8B4" w14:textId="FA4CC168">
            <w:r>
              <w:t>297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605FC339" w14:textId="6BB824A5">
            <w:r>
              <w:t>6,300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02F45AE9" w14:textId="A46BA163">
            <w:r>
              <w:t>95.3 %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AE0BE454" w14:textId="8BD2A6E8">
            <w:r>
              <w:t>134 s</w:t>
            </w:r>
          </w:p>
        </w:tc>
      </w:tr>
      <w:tr>
        <w:tc>
          <w:tcPr>
            <w:tcW w:w="17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BEB318C6" w14:textId="2E945102">
            <w:r>
              <w:t>#3 broken README links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6864B86E" w14:textId="F6177F33">
            <w:r>
              <w:t>~478*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64E735AE" w14:textId="6663D89E">
            <w:r>
              <w:t>10,150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F86E6491" w14:textId="B7172A18">
            <w:r>
              <w:t>~95 %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A3116EA7" w14:textId="75B181E3">
            <w:r>
              <w:t>163 s</w:t>
            </w:r>
          </w:p>
        </w:tc>
      </w:tr>
      <w:tr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6F0A5521" w14:textId="9921CA07">
            <w:r>
              <w:t>#4 design --retry-budget flag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1A295E37" w14:textId="69ABD642">
            <w:r>
              <w:t>~3,500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46C55D83" w14:textId="42C615E6">
            <w:r>
              <w:t>~75,000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AF305048" w14:textId="AF25BCD6">
            <w:r>
              <w:t>~95 %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5C06F43A" w14:textId="65B1296E">
            <w:r>
              <w:t>499 s</w:t>
            </w:r>
          </w:p>
        </w:tc>
      </w:tr>
      <w:tr>
        <w:tc>
          <w:tcPr>
            <w:tcW w:w="1700" w:type="dxa"/>
            <w:shd w:val="clear" w:color="auto" w:fill="DEEBF7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B1C5FA95" w14:textId="1E1B5B7B">
            <w:r>
              <w:rPr>
                <w:b/>
              </w:rPr>
              <w:t>Mean (n=3)</w:t>
            </w:r>
          </w:p>
        </w:tc>
        <w:tc>
          <w:tcPr>
            <w:tcW w:w="1700" w:type="dxa"/>
            <w:shd w:val="clear" w:color="auto" w:fill="DEEBF7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4222C555" w14:textId="64600270">
            <w:r>
              <w:rPr>
                <w:b/>
              </w:rPr>
              <w:t>~1,425</w:t>
            </w:r>
          </w:p>
        </w:tc>
        <w:tc>
          <w:tcPr>
            <w:tcW w:w="1700" w:type="dxa"/>
            <w:shd w:val="clear" w:color="auto" w:fill="DEEBF7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25515EA1" w14:textId="779F5BDF">
            <w:r>
              <w:rPr>
                <w:b/>
              </w:rPr>
              <w:t>~30,500</w:t>
            </w:r>
          </w:p>
        </w:tc>
        <w:tc>
          <w:tcPr>
            <w:tcW w:w="1700" w:type="dxa"/>
            <w:shd w:val="clear" w:color="auto" w:fill="DEEBF7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5FC8B331" w14:textId="C9729A76">
            <w:r>
              <w:rPr>
                <w:b/>
              </w:rPr>
              <w:t>~95 %</w:t>
            </w:r>
          </w:p>
        </w:tc>
        <w:tc>
          <w:tcPr>
            <w:tcW w:w="1700" w:type="dxa"/>
            <w:shd w:val="clear" w:color="auto" w:fill="DEEBF7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5B931EBC" w14:textId="9699B1BE">
            <w:r>
              <w:rPr>
                <w:b/>
              </w:rPr>
              <w:t>265 s</w:t>
            </w:r>
          </w:p>
        </w:tc>
      </w:tr>
    </w:tbl>
    <w:p w14:paraId="1BD3EB5E" w14:textId="3BEC0C28">
      <w:pPr>
        <w:spacing w:before="80" w:after="240"/>
      </w:pPr>
      <w:r>
        <w:rPr>
          <w:i/>
          <w:color w:val="808080"/>
          <w:sz w:val="18"/>
          <w:szCs w:val="18"/>
        </w:rPr>
        <w:t>* Task #3’s in-trace number was 0.5 tw-units due to a known cost-arithmetic bug (defect B1). The corrected value of ≈478 is computed analytically from the captured token totals.</w:t>
      </w:r>
    </w:p>
    <w:p w14:paraId="9994775A" w14:textId="511B1F81">
      <w:pPr>
        <w:pStyle w:val="Heading3"/>
        <w:outlineLvl w:val="2"/>
      </w:pPr>
      <w:r>
        <w:t>4.2 Aggregate metrics</w:t>
      </w:r>
    </w:p>
    <w:tbl>
      <w:tblPr>
        <w:tblW w:w="9000" w:type="dxa"/>
        <w:tblBorders>
          <w:top w:val="single" w:sz="4" w:color="BFBFBF"/>
          <w:bottom w:val="single" w:sz="4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w="25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0BEFF69F" w14:textId="893511AB">
            <w:r>
              <w:rPr>
                <w:b/>
                <w:color w:val="FFFFFF"/>
              </w:rPr>
              <w:t>Metric</w:t>
            </w:r>
          </w:p>
        </w:tc>
        <w:tc>
          <w:tcPr>
            <w:tcW w:w="25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9A85D188" w14:textId="089B1C2E">
            <w:r>
              <w:rPr>
                <w:b/>
                <w:color w:val="FFFFFF"/>
              </w:rPr>
              <w:t>Target</w:t>
            </w:r>
          </w:p>
        </w:tc>
        <w:tc>
          <w:tcPr>
            <w:tcW w:w="2500" w:type="dxa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7586BD1A" w14:textId="B38E0D38">
            <w:r>
              <w:rPr>
                <w:b/>
                <w:color w:val="FFFFFF"/>
              </w:rPr>
              <w:t>Smoke-run measured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29434015" w14:textId="C3BC5401">
            <w:r>
              <w:t>Mean savings vs always-tier-3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BFD5BB9B" w14:textId="D64136CD">
            <w:r>
              <w:t>≥ 35 %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AEA27355" w14:textId="054065C7">
            <w:r>
              <w:t>≈96.8 %</w:t>
            </w:r>
          </w:p>
        </w:tc>
      </w:tr>
      <w:tr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0D5BF9A0" w14:textId="567CE770">
            <w:r>
              <w:t>Tier-1 accept-rate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E87E7C4E" w14:textId="3E7B021B">
            <w:r>
              <w:t>≥ 60 %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F29EC54B" w14:textId="3D2827E1">
            <w:r>
              <w:t>100 %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214454D7" w14:textId="6C90B53C">
            <w:r>
              <w:t>Tier-3 dispatch rate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8E52ADE6" w14:textId="4BECAB38">
            <w:r>
              <w:t>≤ 15 %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D685BD41" w14:textId="D00CCDF5">
            <w:r>
              <w:t>0 %</w:t>
            </w:r>
          </w:p>
        </w:tc>
      </w:tr>
      <w:tr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9E0AF04D" w14:textId="8A70B96C">
            <w:r>
              <w:t>Median terminal output lines (quiet)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CA3C7087" w14:textId="63E12BF4">
            <w:r>
              <w:t>≤ 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677024A5" w14:textId="0FAA155D">
            <w:r>
              <w:t>~12 (defect C3)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94EADE4D" w14:textId="BEC211B2">
            <w:r>
              <w:t>JSON trace written every run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4BF30C64" w14:textId="E58B50FF">
            <w:r>
              <w:t>100 %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2B232947" w14:textId="49468690">
            <w:r>
              <w:t>67 % (defect B2)</w:t>
            </w:r>
          </w:p>
        </w:tc>
      </w:tr>
      <w:tr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B581903F" w14:textId="FE372EF0">
            <w:r>
              <w:t>Verifier dispatched every subtask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77F4F938" w14:textId="74C6D9DD">
            <w:r>
              <w:t>100 %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bottom w:w="60" w:type="dxa"/>
              <w:left w:w="120" w:type="dxa"/>
              <w:right w:w="120" w:type="dxa"/>
            </w:tcMar>
          </w:tcPr>
          <w:p w14:paraId="FCE8622F" w14:textId="00D41EC8">
            <w:r>
              <w:t>33 % (defect B3)</w:t>
            </w:r>
          </w:p>
        </w:tc>
      </w:tr>
    </w:tbl>
    <w:p w14:paraId="88095A87" w14:textId="1D7F06AD">
      <w:pPr>
        <w:spacing w:after="240"/>
      </w:pPr>
    </w:p>
    <w:p w14:paraId="8361DF4A" w14:textId="7CCE066C">
      <w:pPr>
        <w:pStyle w:val="Heading3"/>
        <w:outlineLvl w:val="2"/>
      </w:pPr>
      <w:r>
        <w:t>4.3 What the numbers mean in dollars</w:t>
      </w:r>
    </w:p>
    <w:p w14:paraId="7A9F0E7B" w14:textId="A0B42AC3">
      <w:pPr>
        <w:spacing w:after="160"/>
      </w:pPr>
      <w:r>
        <w:t>Token-weighted units are normalised so that 1 tw-unit = 1 token through Sonnet-4.6. Using indicative public list prices (input + output averaged to ~$5 per million tokens for Sonnet-4.6, ~$1.65 per million for Haiku-4.5, ~$35 per million for Opus-4.7), the smoke-run mean of ≈1,425 tw-units per task corresponds to roughly $0.007 per task. The always-tier-3 baseline of ≈30,500 tw-units per task corresponds to roughly $0.15 per task. At enterprise scale (e.g. 100,000 invocations / month), that is the difference between roughly $700 and roughly $15,000 per month — a ≈20× reduction.</w:t>
      </w:r>
    </w:p>
    <w:p w14:paraId="D5F49129" w14:textId="01EBD2B4">
      <w:pPr>
        <w:spacing w:after="240"/>
      </w:pPr>
      <w:r>
        <w:t>Caveats: token counts are currently estimated (cost_estimated: true on every call) because the Copilot CLI task tool does not yet surface per-call tokens to the orchestrator. The fallback “len(prompt+answer)/4” heuristic is empirically off by 3–10× against outer-CLI billing data. Treat the absolute dollar numbers as directional; the relative ratio between Pyramid and always-T3 is the trustworthy signal.</w:t>
      </w:r>
    </w:p>
    <w:p w14:paraId="764A1D2D" w14:textId="8DD78E2D">
      <w:pPr>
        <w:pStyle w:val="Heading2"/>
        <w:outlineLvl w:val="1"/>
      </w:pPr>
      <w:r>
        <w:t>5. Defects discovered during the smoke run</w:t>
      </w:r>
    </w:p>
    <w:p w14:paraId="47A55124" w14:textId="F7176B58">
      <w:pPr>
        <w:spacing w:after="160"/>
      </w:pPr>
      <w:r>
        <w:t>Running v0.2.0 on three real tasks surfaced four defects that distort cost numbers and violate the SKILL contracts. They are tracked in PR #2 and must be fixed before the full 12 × 3 benchmark is meaningful.</w:t>
      </w:r>
    </w:p>
    <w:p w14:paraId="A4216F2F" w14:textId="67E533B7">
      <w:pPr>
        <w:numPr>
          <w:ilvl w:val="0"/>
          <w:numId w:val="1"/>
        </w:numPr>
      </w:pPr>
      <w:r>
        <w:t>B1 — Cost arithmetic inconsistent. Orchestrator stored a per-verdict scalar in totals.cost_tw_units instead of recomputing from per-call tokens.</w:t>
      </w:r>
    </w:p>
    <w:p w14:paraId="28B518EA" w14:textId="5D410714">
      <w:pPr>
        <w:numPr>
          <w:ilvl w:val="0"/>
          <w:numId w:val="1"/>
        </w:numPr>
      </w:pPr>
      <w:r>
        <w:t>B2 — JSON trace not written on at least one in three runs.</w:t>
      </w:r>
    </w:p>
    <w:p w14:paraId="C77883FF" w14:textId="D64692B3">
      <w:pPr>
        <w:numPr>
          <w:ilvl w:val="0"/>
          <w:numId w:val="1"/>
        </w:numPr>
      </w:pPr>
      <w:r>
        <w:t>B3 — Verifier short-circuited by the orchestrator on “trivially atomic” tasks; no skill authorises this shortcut.</w:t>
      </w:r>
    </w:p>
    <w:p w14:paraId="BC2CFFD1" w14:textId="B69108FC">
      <w:pPr>
        <w:numPr>
          <w:ilvl w:val="0"/>
          <w:numId w:val="1"/>
        </w:numPr>
      </w:pPr>
      <w:r>
        <w:t>B4 — Inline-resolved subtasks: 2 of 3 DAG nodes on task #3 were never dispatched.</w:t>
      </w:r>
    </w:p>
    <w:p w14:paraId="E4AA0047" w14:textId="BFD46271">
      <w:pPr>
        <w:spacing w:after="200"/>
      </w:pPr>
    </w:p>
    <w:p w14:paraId="62B9D43F" w14:textId="54545D2C">
      <w:pPr>
        <w:pStyle w:val="Heading2"/>
        <w:outlineLvl w:val="1"/>
      </w:pPr>
      <w:r>
        <w:t>6. Future work</w:t>
      </w:r>
    </w:p>
    <w:p w14:paraId="BC7E0F80" w14:textId="3410FB36">
      <w:pPr>
        <w:numPr>
          <w:ilvl w:val="0"/>
          <w:numId w:val="1"/>
        </w:numPr>
      </w:pPr>
      <w:r>
        <w:t>Land B1–B4 fixes, then re-run the full 12-task suite × 3 to populate Baseline #2.</w:t>
      </w:r>
    </w:p>
    <w:p w14:paraId="C42A9668" w14:textId="FEB2FE25">
      <w:pPr>
        <w:numPr>
          <w:ilvl w:val="0"/>
          <w:numId w:val="1"/>
        </w:numPr>
      </w:pPr>
      <w:r>
        <w:t>Confirm GPT-track multipliers with the user; calibrate or document as placeholder.</w:t>
      </w:r>
    </w:p>
    <w:p w14:paraId="3F7F0165" w14:textId="35BB7122">
      <w:pPr>
        <w:numPr>
          <w:ilvl w:val="0"/>
          <w:numId w:val="1"/>
        </w:numPr>
      </w:pPr>
      <w:r>
        <w:t>Surface real per-call token counts from the Copilot CLI task tool once available, removing the cost_estimated path.</w:t>
      </w:r>
    </w:p>
    <w:p w14:paraId="58AEFCF7" w14:textId="8AA93B7A">
      <w:pPr>
        <w:numPr>
          <w:ilvl w:val="0"/>
          <w:numId w:val="1"/>
        </w:numPr>
      </w:pPr>
      <w:r>
        <w:t>Empirically re-tune value_of_correctness across {6, 8, 10, 12} on the full baseline.</w:t>
      </w:r>
    </w:p>
    <w:p w14:paraId="A2AF2EB7" w14:textId="CE97B541">
      <w:pPr>
        <w:numPr>
          <w:ilvl w:val="0"/>
          <w:numId w:val="1"/>
        </w:numPr>
      </w:pPr>
      <w:r>
        <w:t>Add an overhead_tw_units field to capture orchestrator inference cost separately from solver cost.</w:t>
      </w:r>
    </w:p>
    <w:p w14:paraId="F904FE43" w14:textId="F32D6FD4">
      <w:pPr>
        <w:spacing w:after="200"/>
      </w:pPr>
    </w:p>
    <w:p w14:paraId="DB3C7E46" w14:textId="F1D4B1DB">
      <w:pPr>
        <w:pStyle w:val="Heading2"/>
        <w:outlineLvl w:val="1"/>
      </w:pPr>
      <w:r>
        <w:t>References</w:t>
      </w:r>
    </w:p>
    <w:p>
      <w:r>
        <w:fldChar w:fldCharType="begin"/>
      </w:r>
      <w:r>
        <w:instrText xml:space="preserve"> BIBLIOGRAPHY \l 1033 </w:instrText>
      </w:r>
      <w:r>
        <w:fldChar w:fldCharType="separate"/>
      </w:r>
      <w:r>
        <w:rPr>
          <w:noProof/>
        </w:rPr>
        <w:t>[Update fields (Ctrl+A, F9) to generate bibliography]</w:t>
      </w:r>
      <w:r>
        <w:fldChar w:fldCharType="end"/>
      </w:r>
    </w:p>
    <w:sectPr>
      <w:pgSz w:w="11906" w:h="16838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o="urn:schemas-microsoft-com:office:office" xmlns:v="urn:schemas-microsoft-com:vml" xmlns:m="http://schemas.openxmlformats.org/officeDocument/2006/math" xmlns:ve="http://schemas.openxmlformats.org/markup-compatibility/2006" xmlns:wne="http://schemas.microsoft.com/office/word/2006/wordml" xmlns:cp="http://schemas.openxmlformats.org/package/2006/metadata/core-properties" xmlns:dc="http://purl.org/dc/elements/1.1/" xmlns:dcterms="http://purl.org/dc/terms/" xmlns:dcmitype="http://purl.org/dc/dcmitype/" xmlns:xsi="http://www.w3.org/2001/XMLSchema-instance" xmlns:ct="http://schemas.openxmlformats.org/package/2006/content-types" xmlns:wp14="http://schemas.microsoft.com/office/word/2010/wordprocessingDrawing" xmlns:a14="http://schemas.microsoft.com/office/drawing/2010/main" xmlns:a16="http://schemas.microsoft.com/office/drawing/2014/main" xmlns:a16svg="http://schemas.microsoft.com/office/drawing/2016/SVG/main" xmlns:adec="http://schemas.microsoft.com/office/drawing/2017/decorative" xmlns:wpc="http://schemas.microsoft.com/office/word/2010/wordprocessingCanvas" xmlns:w14="http://schemas.microsoft.com/office/word/2010/wordml" xmlns:w15="http://schemas.microsoft.com/office/word/2012/wordml" xmlns:w16="http://schemas.microsoft.com/office/word/2018/wordml" xmlns:w16se="http://schemas.microsoft.com/office/word/2015/wordml/symex" xmlns:w16cid="http://schemas.microsoft.com/office/word/2016/wordml/cid" xmlns:w16cex="http://schemas.microsoft.com/office/word/2018/wordml/cex" xmlns:w16sdtdh="http://schemas.microsoft.com/office/word/2020/wordml/sdtdatahash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o="urn:schemas-microsoft-com:office:office" xmlns:v="urn:schemas-microsoft-com:vml" xmlns:m="http://schemas.openxmlformats.org/officeDocument/2006/math" xmlns:ve="http://schemas.openxmlformats.org/markup-compatibility/2006" xmlns:wne="http://schemas.microsoft.com/office/word/2006/wordml" xmlns:cp="http://schemas.openxmlformats.org/package/2006/metadata/core-properties" xmlns:dc="http://purl.org/dc/elements/1.1/" xmlns:dcterms="http://purl.org/dc/terms/" xmlns:dcmitype="http://purl.org/dc/dcmitype/" xmlns:xsi="http://www.w3.org/2001/XMLSchema-instance" xmlns:ct="http://schemas.openxmlformats.org/package/2006/content-types" xmlns:wp14="http://schemas.microsoft.com/office/word/2010/wordprocessingDrawing" xmlns:a14="http://schemas.microsoft.com/office/drawing/2010/main" xmlns:a16="http://schemas.microsoft.com/office/drawing/2014/main" xmlns:a16svg="http://schemas.microsoft.com/office/drawing/2016/SVG/main" xmlns:adec="http://schemas.microsoft.com/office/drawing/2017/decorative" xmlns:wpc="http://schemas.microsoft.com/office/word/2010/wordprocessingCanvas" xmlns:w14="http://schemas.microsoft.com/office/word/2010/wordml" xmlns:w15="http://schemas.microsoft.com/office/word/2012/wordml" xmlns:w16="http://schemas.microsoft.com/office/word/2018/wordml" xmlns:w16se="http://schemas.microsoft.com/office/word/2015/wordml/symex" xmlns:w16cid="http://schemas.microsoft.com/office/word/2016/wordml/cid" xmlns:w16cex="http://schemas.microsoft.com/office/word/2018/wordml/cex" xmlns:w16sdtdh="http://schemas.microsoft.com/office/word/2020/wordml/sdtdatahash">
  <w:defaultTabStop w:val="720"/>
  <w:compat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o="urn:schemas-microsoft-com:office:office" xmlns:v="urn:schemas-microsoft-com:vml" xmlns:m="http://schemas.openxmlformats.org/officeDocument/2006/math" xmlns:ve="http://schemas.openxmlformats.org/markup-compatibility/2006" xmlns:wne="http://schemas.microsoft.com/office/word/2006/wordml" xmlns:cp="http://schemas.openxmlformats.org/package/2006/metadata/core-properties" xmlns:dc="http://purl.org/dc/elements/1.1/" xmlns:dcterms="http://purl.org/dc/terms/" xmlns:dcmitype="http://purl.org/dc/dcmitype/" xmlns:xsi="http://www.w3.org/2001/XMLSchema-instance" xmlns:ct="http://schemas.openxmlformats.org/package/2006/content-types" xmlns:wp14="http://schemas.microsoft.com/office/word/2010/wordprocessingDrawing" xmlns:a14="http://schemas.microsoft.com/office/drawing/2010/main" xmlns:a16="http://schemas.microsoft.com/office/drawing/2014/main" xmlns:a16svg="http://schemas.microsoft.com/office/drawing/2016/SVG/main" xmlns:adec="http://schemas.microsoft.com/office/drawing/2017/decorative" xmlns:wpc="http://schemas.microsoft.com/office/word/2010/wordprocessingCanvas" xmlns:w14="http://schemas.microsoft.com/office/word/2010/wordml" xmlns:w15="http://schemas.microsoft.com/office/word/2012/wordml" xmlns:w16="http://schemas.microsoft.com/office/word/2018/wordml" xmlns:w16se="http://schemas.microsoft.com/office/word/2015/wordml/symex" xmlns:w16cid="http://schemas.microsoft.com/office/word/2016/wordml/cid" xmlns:w16cex="http://schemas.microsoft.com/office/word/2018/wordml/cex" xmlns:w16sdtdh="http://schemas.microsoft.com/office/word/2020/wordml/sdtdatahash">
  <w:docDefaults>
    <w:rPrDefault>
      <w:rPr>
        <w:rFonts w:ascii="Arial" w:hAnsi="Arial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styleId="Normal">
    <w:name w:val="Normal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pPr>
      <w:spacing w:before="240" w:after="240"/>
      <w:outlineLvl w:val="0"/>
    </w:pPr>
    <w:rPr>
      <w:rFonts w:ascii="Arial" w:hAnsi="Arial"/>
      <w:b/>
      <w:sz w:val="32"/>
      <w:szCs w:val="32"/>
    </w:rPr>
  </w:style>
  <w:style w:type="paragraph" w:styleId="Heading2">
    <w:name w:val="heading 2"/>
    <w:basedOn w:val="Normal"/>
    <w:next w:val="Normal"/>
    <w:pPr>
      <w:spacing w:before="180" w:after="180"/>
      <w:outlineLvl w:val="1"/>
    </w:pPr>
    <w:rPr>
      <w:rFonts w:ascii="Arial" w:hAnsi="Arial"/>
      <w:b/>
      <w:sz w:val="28"/>
      <w:szCs w:val="28"/>
    </w:rPr>
  </w:style>
  <w:style w:type="paragraph" w:styleId="Heading3">
    <w:name w:val="heading 3"/>
    <w:basedOn w:val="Normal"/>
    <w:next w:val="Normal"/>
    <w:pPr>
      <w:spacing w:before="120" w:after="120"/>
      <w:outlineLvl w:val="2"/>
    </w:pPr>
    <w:rPr>
      <w:rFonts w:ascii="Arial" w:hAnsi="Arial"/>
      <w:b/>
      <w:sz w:val="26"/>
      <w:szCs w:val="26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customXml" Target="../customXml/item1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="http://schemas.openxmlformats.org/officeDocument/2006/bibliography" xmlns:b="http://schemas.openxmlformats.org/officeDocument/2006/bibliography" SelectedStyle="\IEEE2006OfficeOnline.xsl" StyleName="APA" Version="6">
  <Source>
    <Tag>PyramidMoA2026</Tag>
    <SourceType>JournalArticle</SourceType>
    <Guid>{C527F251-A30C-4923-91EA-2DB67F702FE5}</Guid>
    <Title>Pyramid MoA: A Probabilistic Framework for Cost-Optimized Anytime Inference</Title>
    <Year>2026</Year>
    <URL>https://arxiv.org/abs/2602.19509</URL>
    <PeriodicalTitle>arXiv preprint</PeriodicalTitle>
    <Author>
      <Author>
        <NameList>
          <Person>
            <Last>Khaled</Last>
            <First>Arindam</First>
          </Person>
        </NameList>
      </Author>
    </Author>
    <RefOrder>1</RefOrder>
  </Source>
  <Source>
    <Tag>PyramidRepo2026</Tag>
    <SourceType>DocumentFromInternetSite</SourceType>
    <Guid>{0FAAAAB0-593A-4C9B-9BB6-37BA84F2A1F0}</Guid>
    <Title>pyramid — Pyramid MoA plugin for Copilot CLI</Title>
    <Year>2026</Year>
    <URL>https://github.com/tonybaloney/pyramid</URL>
    <Author>
      <Author>
        <NameList>
          <Person>
            <Last>Shaw</Last>
            <First>Anthony</First>
          </Person>
        </NameList>
      </Author>
    </Author>
    <RefOrder>2</RefOrder>
  </Source>
</Sources>
</file>

<file path=customXml/itemProps1.xml><?xml version="1.0" encoding="utf-8"?>
<ds:datastoreItem xmlns:ds="http://schemas.openxmlformats.org/officeDocument/2006/customXml" ds:itemID="{7657F890-97AA-4509-B7C0-BC59FB96FC1B}">
  <ds:schemaRefs>
    <ds:schemaRef ds:uri="http://schemas.openxmlformats.org/officeDocument/2006/bibliography"/>
  </ds:schemaRefs>
</ds:datastoreItem>
</file>