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BOM AND PIM CAPABILITIES AND MATURITY LEVELS (082825)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Maturity Level Definitions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280"/>
        <w:gridCol w:w="9315"/>
        <w:tblGridChange w:id="0">
          <w:tblGrid>
            <w:gridCol w:w="1365"/>
            <w:gridCol w:w="2280"/>
            <w:gridCol w:w="9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Level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Definition 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7376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7376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Optimized </w:t>
            </w:r>
          </w:p>
        </w:tc>
        <w:tc>
          <w:tcPr>
            <w:tcBorders>
              <w:top w:color="07376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Stable &amp; Flexible. Organization is focused on continuous improvement and is built to pivot and respond to opportunity &amp; change. This stability provides a platform for agility &amp; innovation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Quantitatively Managed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Measured &amp; Controlled. Organization is data-driven with qualitative performance improvements that are predictable and aligned to meet the needs of internal &amp; external customers.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Proactive rather than reactive. Organization-wide standards provide guidance across projects, programs, and portfolios.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Managed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Managed independently. Each Business Unit independently plans and performs &amp; manages work in a semi structured manner.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Initial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Unpredictable &amp; Reactive. Work gets completed but is often delayed and over budget.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BOM and PIM Capability Feature Definitions and Levels of Maturity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25"/>
        <w:gridCol w:w="2385"/>
        <w:gridCol w:w="4785"/>
        <w:gridCol w:w="1770"/>
        <w:gridCol w:w="1860"/>
        <w:tblGridChange w:id="0">
          <w:tblGrid>
            <w:gridCol w:w="1665"/>
            <w:gridCol w:w="525"/>
            <w:gridCol w:w="2385"/>
            <w:gridCol w:w="4785"/>
            <w:gridCol w:w="1770"/>
            <w:gridCol w:w="186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Maturity</w:t>
            </w:r>
          </w:p>
        </w:tc>
      </w:tr>
      <w:tr>
        <w:trPr>
          <w:cantSplit w:val="0"/>
          <w:tblHeader w:val="1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Capability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Definition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Current 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Information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T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he ability to collect, organize, monitor, report on, and disseminate basic facts, statistics, attributes, and data about a part/product. It ensures that accurate and up-to-date part and product information is available across various functional areas, facilitating decision-making and operational efficiency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(Master):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Accurate  &amp; comprehensive digital part information is immediately available to all functional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Information Access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C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apture, organize, and make accessible every change to facilitate easy tracking and sharing of information at each phase of the part life-cycle. This process includes linking all digital assets to parts, thereby providing a comprehensive and integrated view of part data, which supports efficient decision-making and operational processes.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 -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 information is effectively managed at each phase of the part life-cycle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Information Integrity Mgmt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Ensures that accurate and up-to-date product information is available across various functional areas, facilitating decision-making and operational efficiency.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: The integrity of part information is never compromised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Release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Parts are released for use by ensuring every design change is justified with a business case, adhering to well-defined release criteria, and practicing common release processes across all functional areas.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Outcome: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Parts are reviewed and released for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Configuration Management </w:t>
            </w:r>
            <w:r w:rsidDel="00000000" w:rsidR="00000000" w:rsidRPr="00000000">
              <w:rPr>
                <w:rFonts w:ascii="Roboto" w:cs="Roboto" w:eastAsia="Roboto" w:hAnsi="Roboto"/>
                <w:color w:val="27272a"/>
                <w:sz w:val="24"/>
                <w:szCs w:val="24"/>
                <w:rtl w:val="0"/>
              </w:rPr>
              <w:t xml:space="preserve">(BOM)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Parts are released for use by ensuring every design change is justified with a business case, adhering to well-defined release criteria, and practicing common release processes across all functional areas.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Outcome: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 Parts are easily and accurately combined to form new parts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Selection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Optimally leverage</w:t>
            </w: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preferred materials and parts in design by instantly finding, vetting, and reusing existing parts, while consistently employing proven design standards.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Outcome: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Preferred material and part are optimally leveraged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Standardization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Minimize standardized component parts across all parts by maintaining a proven platform of standard parts and design elements, ensuring parts are easily identifiable by classifications and attributes.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 -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Standard component parts are rationalized and minimized across all parts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Optimization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 features are selected for effectiveness and profitability by ensuring they contribute to overall profitability, expedite program schedules, and provide immediate knowledge and awareness of part features and options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 -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 features selected are effective and profitable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Substitute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Identify and use alternate and substitute parts/components by ensuring visibility to accurate parts inventory, maintaining immediate knowledge and awareness of part features and options, and ensuring parts are easily identifiable by classifications and attributes.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 -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Alternate &amp; substitute parts/ components are instantly identified and used when possible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Revision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Properly configure revision and version sequencing, make component descriptions remain traceable throughout the part’s entire life-cycle, ensure knowledge and awareness of part features and options are readily available, and all part versions are accurately maintained.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 -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Revision/ version sequencing is properly configured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Part Information Harmonization Mgmt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 information is harmonized to flow seamlessly across departments by integrating with enterprise systems, maintaining a single source of truth, and consistently structuring information (i.e."documents") for delivery across departments.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7272a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272a"/>
                <w:sz w:val="25"/>
                <w:szCs w:val="25"/>
                <w:rtl w:val="0"/>
              </w:rPr>
              <w:t xml:space="preserve">Outcome - </w:t>
            </w:r>
            <w:r w:rsidDel="00000000" w:rsidR="00000000" w:rsidRPr="00000000">
              <w:rPr>
                <w:color w:val="27272a"/>
                <w:sz w:val="25"/>
                <w:szCs w:val="25"/>
                <w:rtl w:val="0"/>
              </w:rPr>
              <w:t xml:space="preserve">Part information is harmonized to flow seamlessly across departments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