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BOM and PIM GPS Outcomes (082625)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Overall Parent Outcome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Accurate &amp; comprehensive digital part information is immediately available to all functional 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Information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2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integrity of part information is never compromised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2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Advanced security capabilities ensure part information is accessed by the right people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60" w:afterAutospacing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accuracy of part information is continually maintained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6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 information is continually reviewed for relevance &amp; release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 information is standardized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afterAutospacing="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information is effectively managed at each phase of the part lifecycle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12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 information is properly organized and easily accessed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effectivity of every change made to part information is captured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It's easy to make and track changes to part information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 information is easily and effectively shared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digital assets are linked to parts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20" w:before="200" w:lineRule="auto"/>
        <w:ind w:left="720" w:hanging="360"/>
      </w:pPr>
      <w:r w:rsidDel="00000000" w:rsidR="00000000" w:rsidRPr="00000000">
        <w:rPr>
          <w:rtl w:val="0"/>
        </w:rPr>
        <w:t xml:space="preserve">Parts are reviewed and released for use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Every change made to a part's design is justified by a business case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afterAutospacing="0" w:before="0" w:line="24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Designs are released using well-defined criteria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6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 release processes are practiced across all functional areas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Configuration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Parts are easily and accurately combined to form new parts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Preferred materials and parts are optimally leveraged in our design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Proven design standards are consistently employed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Existing parts are instantly found, vetted, and reused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60" w:lineRule="auto"/>
        <w:ind w:left="1440" w:hanging="360"/>
      </w:pPr>
      <w:r w:rsidDel="00000000" w:rsidR="00000000" w:rsidRPr="00000000">
        <w:rPr>
          <w:rtl w:val="0"/>
        </w:rPr>
        <w:t xml:space="preserve">Standard component parts are rationalized and minimized across all parts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proven platform of standard parts and design elements is maintained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Parts are easily identifiable by classifications and attributes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before="60" w:lineRule="auto"/>
        <w:ind w:left="1440" w:hanging="360"/>
      </w:pPr>
      <w:r w:rsidDel="00000000" w:rsidR="00000000" w:rsidRPr="00000000">
        <w:rPr>
          <w:rtl w:val="0"/>
        </w:rPr>
        <w:t xml:space="preserve">Part features selected are effective and contribute to overall profitability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6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Part features contribute to overall profitability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60" w:after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Part features selected help to expedite program schedules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6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Alternate and substitute parts/components are identified and used when possible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Visibility to accurate parts inventory exists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Immediate knowledge and awareness of a part's features and options exist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Revision/version sequencing is properly configured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7272a"/>
          <w:sz w:val="20"/>
          <w:szCs w:val="20"/>
        </w:rPr>
      </w:pPr>
      <w:r w:rsidDel="00000000" w:rsidR="00000000" w:rsidRPr="00000000">
        <w:rPr>
          <w:rtl w:val="0"/>
        </w:rPr>
        <w:t xml:space="preserve">Component descriptions are traceable throughout a part's lifecycle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Visibility to accurate part inventory exists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Integration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information is harmonized to flow seamlessly across departments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 information seamlessly integrates with other enterprise systems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single source of the truth for part information exists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 information is consistently structured for delivery across departments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