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CONTROL MANAGEMENT CAPABILITIES AND MATURITY LEVELS (082725)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25"/>
        <w:gridCol w:w="2400"/>
        <w:gridCol w:w="4185"/>
        <w:gridCol w:w="1800"/>
        <w:gridCol w:w="1800"/>
        <w:tblGridChange w:id="0">
          <w:tblGrid>
            <w:gridCol w:w="1665"/>
            <w:gridCol w:w="525"/>
            <w:gridCol w:w="2400"/>
            <w:gridCol w:w="4185"/>
            <w:gridCol w:w="1800"/>
            <w:gridCol w:w="18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Maturity</w:t>
            </w:r>
          </w:p>
        </w:tc>
      </w:tr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Capability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Definition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Current 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Product Change Control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Product part, Process &amp; Tooling changes occur effectively across all Molex businesses and industries with all functions contributing seamlessly to achieve end‑to‑end traceability, precision and control across the change lifecycle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(Master):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Change Control management works for all our businesses &amp; Industries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Product Change Control Execution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Product part, Process 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&amp; Tooling 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changes are delivered through scalable, highly efficient processes with established readiness to proceed with each change, while proactively detecting and addressing potential issues before they escalate.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highlight w:val="white"/>
                <w:rtl w:val="0"/>
              </w:rPr>
              <w:t xml:space="preserve">Outcome (1-4):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Product part changes effectively occur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Adaptive Product Change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An intuitive and consistent framework addresses requests for change with confidence &amp; sense of urgency to ensure all change requests are thoroughly vetted, verified readiness, for approval, with connected documentation, and guarantees that implemented changes consistently meet quality and compliance requirements.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highlight w:val="white"/>
                <w:rtl w:val="0"/>
              </w:rPr>
              <w:t xml:space="preserve">Outcome (1 &amp; 3):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7272a"/>
                <w:rtl w:val="0"/>
              </w:rPr>
              <w:t xml:space="preserve">Adaptive change control propels product evolution forward effortlessly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Product Change Control Competency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Equips people to navigate change with confidence by ensuring the change control process is intuitive with the robust easy to use technology solutions 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and by providing a framework with clearly defined, consistently followed decision rights for changes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(3):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People are prepared and confident navigating change effectively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Scalable Product Change Control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Efficient, scalable product part, process &amp; tooling change control through consistent lifecycle controls, a tailored global framework, smooth execution, and seamless functional integration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highlight w:val="white"/>
                <w:rtl w:val="0"/>
              </w:rPr>
              <w:t xml:space="preserve">Outcome (2):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Product Part changes processes are scalable and highly 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Proactive Product Change Control Risk Effects &amp;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Identifies potential issues &amp; risks early in the change lifecycle by ensuring, 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changes consistently meet quality and compliance requirements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, while systematically applying lessons learned from prior changes to prevent escalation.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(4):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Potential change issues are detected before they escalate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120" w:before="120"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Collaboration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Collaborative Product Change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All functions contribute seamlessly throughout the change process, with stakeholders evaluating the impact and acknowledging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 (5-6):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All functions contribute effortlessly throughout the change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Stakeholder Change Control Impact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All relevant stakeholders assess the impact of changes, with supplier improvements efficiently evaluated and implemented, customer feedback directly shaping decisions, and seamless collaboration with external partners in shared change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(5):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 relevant stakeholders evaluate the impact of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Change Control Notifications &amp; Communications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Changes are recognized by every stakeholder, with role-specific change information delivered clearly and on time, accurate notifications communicated to appropriate groups, and change impacts immediately visible to all affected parties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(6):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Changes are acknowledged by every stakeholder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Traceability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Change Control Life-cycle Traceability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Traceability is maintained throughout the change lifecycle full awareness of the reasons for change across all functional groups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(7):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End-to-end traceability is maintained across the change lifecycle.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Shared Product Part Change Control Coordination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Changes to product parts, process, &amp; tooling with shared features are expertly managed, with clear and understood revision levels, and consistently controlled and accurate product configurations and revisions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 (8):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Changes to product parts with shared features are masterfully handled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Real-Time Change Control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All functions have immediate access to change-related information, with seamless information flow across departments </w:t>
            </w: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and a single source of truth for all change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7272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7272a"/>
                <w:sz w:val="24"/>
                <w:szCs w:val="24"/>
                <w:rtl w:val="0"/>
              </w:rPr>
              <w:t xml:space="preserve">Outcomes (9):</w:t>
            </w:r>
            <w:r w:rsidDel="00000000" w:rsidR="00000000" w:rsidRPr="00000000">
              <w:rPr>
                <w:color w:val="27272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All functions have real-time visibility into information related to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27272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7272a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on">
    <w:name w:val="Revision"/>
    <w:hidden w:val="1"/>
    <w:uiPriority w:val="99"/>
    <w:semiHidden w:val="1"/>
    <w:rsid w:val="00C83C32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A4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EA47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A4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A479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A4792"/>
    <w:rPr>
      <w:b w:val="1"/>
      <w:bCs w:val="1"/>
      <w:sz w:val="20"/>
      <w:szCs w:val="20"/>
    </w:rPr>
  </w:style>
  <w:style w:type="character" w:styleId="Mention">
    <w:name w:val="Mention"/>
    <w:basedOn w:val="DefaultParagraphFont"/>
    <w:uiPriority w:val="99"/>
    <w:unhideWhenUsed w:val="1"/>
    <w:rsid w:val="00F523B9"/>
    <w:rPr>
      <w:color w:val="2b579a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+89ywFI3Att5+Kuw1s5L6NTqMg==">CgMxLjA4AHIhMWRPMUhSUjhoaWdyZlh0R2lFUFhpU2c1YlJrN1YtWGVY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0x0101000E1330A9AC7EB14B95735387F077E344</vt:lpwstr>
  </property>
</Properties>
</file>