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DESIGN MGMT &amp; COLLABORATION OUTCOMES (083125)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Overall Parent Outcome -</w:t>
      </w:r>
      <w:r w:rsidDel="00000000" w:rsidR="00000000" w:rsidRPr="00000000">
        <w:rPr>
          <w:rtl w:val="0"/>
        </w:rPr>
        <w:t xml:space="preserve"> We reach ever increasing levels of success in designing products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Innovate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innovative and unexpected ideas are incorporated in the designs of new products &amp; technologies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2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innovations are rapidly tested and validated with our customers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6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Leading edge technologies are continually discovered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6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Feedback from customers, partners and other stakeholders about new ideas is evaluated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The most informed, intelligent and complete insights are leveraged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Design iterations are continuous and fluid to advance our technologies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Simulation enables new thought processes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Immersive virtual experiences enable optimal designs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We accurately foresee our customer's needs before they know they have them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A deep understanding of our customer's business and industry exists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Customers are actively engaged to co-design future offerings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Leading edge technologies are continually discovered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and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is easily performed at an unsurpassed level of excellence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Employees closest to the point of impact are empowered to make decisions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The most innovative and forward thinking design practices are created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Mold &amp; tooling design is a natural and seamless extension of product part design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Non-value activities are relentlessly eliminated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Verification planning is completed early in the design process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Design validations and verifications are automatically completed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Work is completed with concurrent activities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Dependence on physical testing and prototyping is reduced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Simulation and analysis are integrated throughout design lifecycle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Existing Test Data and Part performance history is readily leveraged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727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</w:t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color w:val="27272a"/>
          <w:rtl w:val="0"/>
        </w:rPr>
        <w:t xml:space="preserve">Molex, our customers and partners are engaged in mutually beneficial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Partner competencies blend to create unique synergies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Suppliers are seamlessly integrated in the design process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A strong, unbreakable bond of trust exists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Clear accountabilities for results exist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We have empathy for our customers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Partner share in the same vision and values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Collaboration naturally occurs between all functional groups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Efficient collaboration is accelerated across the enterprise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Collaboration extends simultaneously beyond internal organization with real-time integration</w:t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color w:val="2727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Knowledge</w:t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color w:val="27272a"/>
          <w:rtl w:val="0"/>
        </w:rPr>
        <w:t xml:space="preserve">The best skills and knowledge is thoughtfully leveraged to meet our needs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Knowledge is revered as a valuable asset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Best practices are documented and widely disseminated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Individuals contributing knowledge are rewarded and recognized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Complete and accurate Product Development related knowledge is immediately accessible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Knowledge is acquired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Assets that generate data are seamlessly connected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Active experimentation and exploration are actively practiced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Information and knowledge is freely shared across the enterprise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Clear, honest and timely communication exists across the enterprise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A single source of truth exists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Formal design &amp; product part information flows-down across all functional groups &amp; partners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Manufacturing information is digitally tied to product part models and part information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Standardized sources of secure global product part and domain information exists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880" w:hanging="360"/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Any change made to product related information by any function in the company is instantly updated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727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727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727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