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CHANGE CONTROL MANAGEMENT - POTENTIAL KPIs (082625)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AI Prompt -</w:t>
      </w:r>
      <w:r w:rsidDel="00000000" w:rsidR="00000000" w:rsidRPr="00000000">
        <w:rPr>
          <w:rtl w:val="0"/>
        </w:rPr>
        <w:t xml:space="preserve"> The capability “Change Control management works for all our businesses &amp; Industries” is defined as Product part, Process &amp; Tooling changes occur effectively across all Molex businesses and industries with all functions contributing seamlessly to achieve end‑to‑end traceability, precision and control across the change lifecycle. Please create a table with a suggested KPI to explicitly measure this outcome in column one, column two explain how the KPI will be measured/calculated, in the third column list the data elements needed to perform the calculation and provide an example calculation. Please offer three possible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2205"/>
        <w:gridCol w:w="3585"/>
        <w:gridCol w:w="4185"/>
        <w:tblGridChange w:id="0">
          <w:tblGrid>
            <w:gridCol w:w="2595"/>
            <w:gridCol w:w="2205"/>
            <w:gridCol w:w="3585"/>
            <w:gridCol w:w="41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How it’s calculated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elements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Example calculation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First‑Time Right change approvals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Approved changes that require no rework on first submission divided by total submitted changes in the 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Change ID, submission date - Approval decision status (approve/reject) - Rework flag or resubmission count - Business unit/industry tag - Change type (product part/process/tooling)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 Q2, 420 changes were submitted; 336 approved on first submission without rework. First‑Time Right = 336 / 420 = 80%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End‑to‑end change traceability completeness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Changes with full linkage across part, process, tooling, requirements, validations, and affected documents divided by total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Change ID - Linked part IDs, process IDs, tooling IDs - Linked requirements/specs - Linked validation/qualification results - Linked SOPs/routers/BOM/BOM Rev - Evidence attachments and audit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 May, 250 implemented changes; 215 had all required links present. Traceability completeness = 215 / 250 = 86%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Post‑implementation defect/escape rate attributable to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Number of field or production defects traced to implemented changes divided by total implemented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 Implemented change IDs and dates - Nonconformance/defect records with cause code - Customer complaints/returns tied to change ID - Production scrap/rework events tied to change ID - Volume/context (units produced, lots affected)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 July, 190 changes were implemented; 7 defects attributed to those changes. Change‑attributed defect rate = 7 / 190 = 3.68%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Capability Maturity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The sum of gaps measured between target and actual maturity divided by the total number of capability features.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Estimates of actual and targeted maturity for each capability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 August, the total ‘gap points’ (i.e. range between target and target maturity) for each capability feature is 31.  With 10 features, the average gap is 3.1.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330A9AC7EB14B95735387F077E344" ma:contentTypeVersion="7" ma:contentTypeDescription="Create a new document." ma:contentTypeScope="" ma:versionID="8639b36cc5731e761665059faf3b2c0c">
  <xsd:schema xmlns:xsd="http://www.w3.org/2001/XMLSchema" xmlns:xs="http://www.w3.org/2001/XMLSchema" xmlns:p="http://schemas.microsoft.com/office/2006/metadata/properties" xmlns:ns2="cceceb7d-57bc-460a-b2f3-c17de45f2e25" targetNamespace="http://schemas.microsoft.com/office/2006/metadata/properties" ma:root="true" ma:fieldsID="bb6e7a8bef8f9ba3840675053ea0eb60" ns2:_="">
    <xsd:import namespace="cceceb7d-57bc-460a-b2f3-c17de45f2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ceb7d-57bc-460a-b2f3-c17de45f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05625-7E7D-4FA2-AE8D-5272FDAD5782}"/>
</file>

<file path=customXml/itemProps2.xml><?xml version="1.0" encoding="utf-8"?>
<ds:datastoreItem xmlns:ds="http://schemas.openxmlformats.org/officeDocument/2006/customXml" ds:itemID="{A8CDE06A-2EC9-46DF-BFF3-65C0E6E93D97}"/>
</file>

<file path=customXml/itemProps3.xml><?xml version="1.0" encoding="utf-8"?>
<ds:datastoreItem xmlns:ds="http://schemas.openxmlformats.org/officeDocument/2006/customXml" ds:itemID="{E8533970-0B8F-42EB-B322-D3715B39F10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  <property fmtid="{D5CDD505-2E9C-101B-9397-08002B2CF9AE}" pid="4" name="docLang">
    <vt:lpwstr>en</vt:lpwstr>
  </property>
</Properties>
</file>