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Potential KPIs for Requirements Management GPS Parent Outcome -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Product expectations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are met in the most effective and efficient manner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Borders>
          <w:top w:color="073763" w:space="0" w:sz="4" w:val="single"/>
          <w:left w:color="073763" w:space="0" w:sz="4" w:val="single"/>
          <w:bottom w:color="073763" w:space="0" w:sz="4" w:val="single"/>
          <w:right w:color="073763" w:space="0" w:sz="4" w:val="single"/>
          <w:insideH w:color="073763" w:space="0" w:sz="4" w:val="single"/>
          <w:insideV w:color="073763" w:space="0" w:sz="4" w:val="single"/>
        </w:tblBorders>
        <w:tblLayout w:type="fixed"/>
        <w:tblLook w:val="0600"/>
      </w:tblPr>
      <w:tblGrid>
        <w:gridCol w:w="2130"/>
        <w:gridCol w:w="3150"/>
        <w:gridCol w:w="3495"/>
        <w:gridCol w:w="3915"/>
        <w:tblGridChange w:id="0">
          <w:tblGrid>
            <w:gridCol w:w="2130"/>
            <w:gridCol w:w="3150"/>
            <w:gridCol w:w="3495"/>
            <w:gridCol w:w="3915"/>
          </w:tblGrid>
        </w:tblGridChange>
      </w:tblGrid>
      <w:tr>
        <w:trPr>
          <w:cantSplit w:val="0"/>
          <w:trHeight w:val="540" w:hRule="atLeast"/>
          <w:tblHeader w:val="1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 elements needed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Example calculation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Stakeholder Satisfaction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Percent of internal and external stakeholders who report the development met their expectations.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Survey responses (satisfied vs not), stakeholder type (internal/external), product/project ID, survey date, sample size.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181b"/>
                <w:sz w:val="24"/>
                <w:szCs w:val="24"/>
                <w:rtl w:val="0"/>
              </w:rPr>
              <w:t xml:space="preserve">(Satisfied responses / Total responses) × 100 → (180 / 225) × 100 = 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Requirements Stability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Share of baseline requirements that remain unchanged through development (fewer changes = more effective planning).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Baseline requirement count, number of changed/added/removed requirements after baseline, timestamps, requirement IDs.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181b"/>
                <w:sz w:val="24"/>
                <w:szCs w:val="24"/>
                <w:rtl w:val="0"/>
              </w:rPr>
              <w:t xml:space="preserve">((Baseline reqs − Changed reqs) / Baseline reqs) × 100 → ((120 − 12) / 120) × 100 =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On‑time Milestone Completion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Percent of planned development milestones completed by the committed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Milestone ID, planned completion date, actual completion date, project ID, milestone owner.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181b"/>
                <w:sz w:val="24"/>
                <w:szCs w:val="24"/>
                <w:rtl w:val="0"/>
              </w:rPr>
              <w:t xml:space="preserve">(Milestones completed on time / Total planned milestones) × 100 → (22 / 25) × 100 = 88%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Average Feedback Resolution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Average elapsed time from stakeholder feedback submission to confirmed resolution/acceptance.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Feedback ticket ID, submission timestamp, resolution timestamp, severity/owner, product 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181b"/>
                <w:sz w:val="24"/>
                <w:szCs w:val="24"/>
                <w:rtl w:val="0"/>
              </w:rPr>
              <w:t xml:space="preserve">Sum(resolution_time hours) / Number of feedback items → 720 hrs / 180 items = 4.0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Feature First‑Pass Acceptance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Percent of delivered features accepted by stakeholders on first review (no rework required).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Feature ID, review outcome (accepted/rework), number of review cycles, stakeholder type, review timestamps.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181b"/>
                <w:sz w:val="24"/>
                <w:szCs w:val="24"/>
                <w:rtl w:val="0"/>
              </w:rPr>
              <w:t xml:space="preserve">(Features accepted first review / Features reviewed) × 100 → (54 / 60) × 100 = 90%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60F21-B777-4AF5-B85B-41B3D196590E}"/>
</file>

<file path=customXml/itemProps2.xml><?xml version="1.0" encoding="utf-8"?>
<ds:datastoreItem xmlns:ds="http://schemas.openxmlformats.org/officeDocument/2006/customXml" ds:itemID="{7BC02117-9B5B-48E8-89F1-F78CB7083668}"/>
</file>

<file path=customXml/itemProps3.xml><?xml version="1.0" encoding="utf-8"?>
<ds:datastoreItem xmlns:ds="http://schemas.openxmlformats.org/officeDocument/2006/customXml" ds:itemID="{40EA3780-D9EE-4CCC-B8C8-33CD7867F0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</Properties>
</file>