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DCCFA" w14:textId="76E7463F" w:rsidR="002F040F" w:rsidRDefault="002F040F">
      <w:r>
        <w:t xml:space="preserve">Global PD Business Process </w:t>
      </w:r>
      <w:r w:rsidRPr="00DE2FF5">
        <w:rPr>
          <w:strike/>
        </w:rPr>
        <w:t>Design</w:t>
      </w:r>
      <w:r>
        <w:t xml:space="preserve"> </w:t>
      </w:r>
      <w:r w:rsidR="00DE2FF5">
        <w:t>“</w:t>
      </w:r>
      <w:r>
        <w:t>Methodology</w:t>
      </w:r>
      <w:r w:rsidR="00DE2FF5">
        <w:t>”</w:t>
      </w:r>
      <w:r>
        <w:t xml:space="preserve"> </w:t>
      </w:r>
      <w:r w:rsidR="00C50BE7">
        <w:t>Capability</w:t>
      </w:r>
    </w:p>
    <w:p w14:paraId="39175378" w14:textId="6E6F5F60" w:rsidR="0023248A" w:rsidRDefault="0023248A"/>
    <w:p w14:paraId="6E917202" w14:textId="2B230A5A" w:rsidR="00DF7623" w:rsidRDefault="001A562C">
      <w:r>
        <w:rPr>
          <w:noProof/>
        </w:rPr>
        <w:drawing>
          <wp:inline distT="0" distB="0" distL="0" distR="0" wp14:anchorId="7A50F6BC" wp14:editId="5A376A94">
            <wp:extent cx="6879265" cy="6485324"/>
            <wp:effectExtent l="0" t="0" r="4445" b="4445"/>
            <wp:docPr id="2032494209" name="Picture 1" descr="A diagram of a business process methodology&#10;&#10;AI-generated content may be incorrect.">
              <a:extLst xmlns:a="http://schemas.openxmlformats.org/drawingml/2006/main">
                <a:ext uri="{FF2B5EF4-FFF2-40B4-BE49-F238E27FC236}">
                  <a16:creationId xmlns:a16="http://schemas.microsoft.com/office/drawing/2014/main" id="{BCF272B4-079D-4DED-881D-A0DA40E0B2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94209" name="Picture 1" descr="A diagram of a business process methodology&#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7125" cy="6511589"/>
                    </a:xfrm>
                    <a:prstGeom prst="rect">
                      <a:avLst/>
                    </a:prstGeom>
                  </pic:spPr>
                </pic:pic>
              </a:graphicData>
            </a:graphic>
          </wp:inline>
        </w:drawing>
      </w:r>
    </w:p>
    <w:p w14:paraId="24E959D2" w14:textId="11BD726D" w:rsidR="00DF7623" w:rsidRDefault="00E54708" w:rsidP="00141630">
      <w:pPr>
        <w:ind w:firstLine="720"/>
      </w:pPr>
      <w:r>
        <w:t xml:space="preserve"> </w:t>
      </w:r>
      <w:hyperlink r:id="rId9" w:history="1">
        <w:r w:rsidR="00A1463C" w:rsidRPr="00A1463C">
          <w:rPr>
            <w:rStyle w:val="Hyperlink"/>
          </w:rPr>
          <w:t>Business Process Methodology mini-GPS</w:t>
        </w:r>
      </w:hyperlink>
    </w:p>
    <w:p w14:paraId="4C29C1CD" w14:textId="77777777" w:rsidR="00EC79C6" w:rsidRDefault="00EC79C6">
      <w:pPr>
        <w:rPr>
          <w:b/>
          <w:bCs/>
          <w:u w:val="single"/>
        </w:rPr>
        <w:sectPr w:rsidR="00EC79C6" w:rsidSect="00EC79C6">
          <w:pgSz w:w="12240" w:h="15840"/>
          <w:pgMar w:top="720" w:right="720" w:bottom="720" w:left="720" w:header="720" w:footer="720" w:gutter="0"/>
          <w:cols w:space="720"/>
          <w:docGrid w:linePitch="360"/>
        </w:sectPr>
      </w:pPr>
    </w:p>
    <w:p w14:paraId="7540CFC8" w14:textId="67875FA5" w:rsidR="00E972E3" w:rsidRPr="007B5851" w:rsidRDefault="00E972E3">
      <w:pPr>
        <w:rPr>
          <w:b/>
          <w:bCs/>
          <w:u w:val="single"/>
        </w:rPr>
      </w:pPr>
      <w:r w:rsidRPr="007B5851">
        <w:rPr>
          <w:b/>
          <w:bCs/>
          <w:u w:val="single"/>
        </w:rPr>
        <w:t>Vision</w:t>
      </w:r>
    </w:p>
    <w:p w14:paraId="19D4AA72" w14:textId="77777777" w:rsidR="0023248A" w:rsidRDefault="0023248A" w:rsidP="0023248A"/>
    <w:p w14:paraId="45E8FF49" w14:textId="5E5C667D" w:rsidR="0023248A" w:rsidRPr="007B5851" w:rsidRDefault="0023248A" w:rsidP="0023248A">
      <w:pPr>
        <w:rPr>
          <w:b/>
          <w:bCs/>
        </w:rPr>
      </w:pPr>
      <w:r w:rsidRPr="007B5851">
        <w:rPr>
          <w:b/>
          <w:bCs/>
        </w:rPr>
        <w:t>Business Process Methodology Capability</w:t>
      </w:r>
    </w:p>
    <w:p w14:paraId="16966B6A" w14:textId="77777777" w:rsidR="0023248A" w:rsidRDefault="0023248A" w:rsidP="0023248A">
      <w:r>
        <w:t>Provides the tools and frameworks for strategically aligned, adaptable, integrated, and transparently governed processes across all functions. By promoting clear roles, dynamic frameworks, and best practices, we accelerate adoption, empower teams, and drive measurable results. This enables seamless collaboration, continuous learning, and resilient, competitive business processes.</w:t>
      </w:r>
    </w:p>
    <w:p w14:paraId="23A37775" w14:textId="77777777" w:rsidR="0023248A" w:rsidRDefault="0023248A" w:rsidP="0023248A"/>
    <w:p w14:paraId="1D77EF87" w14:textId="464F8AE7" w:rsidR="00E972E3" w:rsidRPr="00EC79C6" w:rsidRDefault="00E972E3" w:rsidP="0023248A">
      <w:pPr>
        <w:rPr>
          <w:u w:val="single"/>
        </w:rPr>
      </w:pPr>
      <w:r w:rsidRPr="00EC79C6">
        <w:rPr>
          <w:u w:val="single"/>
        </w:rPr>
        <w:t>Feature Descriptions:</w:t>
      </w:r>
    </w:p>
    <w:p w14:paraId="69A1191F" w14:textId="7B9721A0" w:rsidR="0023248A" w:rsidRPr="007B5851" w:rsidRDefault="0023248A" w:rsidP="0023248A">
      <w:pPr>
        <w:rPr>
          <w:b/>
          <w:bCs/>
        </w:rPr>
      </w:pPr>
      <w:r w:rsidRPr="007B5851">
        <w:rPr>
          <w:b/>
          <w:bCs/>
        </w:rPr>
        <w:t>Strategic Alignment</w:t>
      </w:r>
    </w:p>
    <w:p w14:paraId="644DBB36" w14:textId="4185A909" w:rsidR="0023248A" w:rsidRDefault="00C36648" w:rsidP="0023248A">
      <w:r w:rsidRPr="004E6D68">
        <w:rPr>
          <w:b/>
          <w:bCs/>
        </w:rPr>
        <w:t>Description</w:t>
      </w:r>
      <w:r w:rsidR="00762ADF" w:rsidRPr="004E6D68">
        <w:rPr>
          <w:b/>
          <w:bCs/>
        </w:rPr>
        <w:t>:</w:t>
      </w:r>
      <w:r w:rsidR="00762ADF">
        <w:t xml:space="preserve"> </w:t>
      </w:r>
      <w:r w:rsidR="0023248A">
        <w:t xml:space="preserve">Strategic Alignment ensures our business processes connect every capability and functional group to a shared strategic vision. </w:t>
      </w:r>
      <w:r w:rsidR="00D42244">
        <w:t xml:space="preserve">Focusing on Customer &amp; Stakeholder Centricity guarantees that processes are built around real market and user needs, not just internal priorities. </w:t>
      </w:r>
      <w:r w:rsidR="0023248A">
        <w:t xml:space="preserve">By clarifying roles, value chain insights, and cross-functional collaboration, we accelerate adoption and pioneering ways of working. </w:t>
      </w:r>
      <w:r w:rsidR="00D42244">
        <w:t xml:space="preserve">Value Chain Enablement ensures processes are connected end-to-end, maximizing value delivery and efficiency across the entire system. </w:t>
      </w:r>
      <w:r w:rsidR="0023248A">
        <w:t>This drives business results, speeds time-to-market, and builds lasting competitive advantage.</w:t>
      </w:r>
    </w:p>
    <w:p w14:paraId="5D7E9419" w14:textId="0C577284" w:rsidR="00E078EE" w:rsidRDefault="00592144" w:rsidP="00E078EE">
      <w:r w:rsidRPr="004E6D68">
        <w:rPr>
          <w:b/>
          <w:bCs/>
        </w:rPr>
        <w:t>Outcome:</w:t>
      </w:r>
      <w:r>
        <w:t xml:space="preserve"> </w:t>
      </w:r>
      <w:r>
        <w:rPr>
          <w:color w:val="000000"/>
        </w:rPr>
        <w:t>Product development capabilities are eagerly embraced and adopted</w:t>
      </w:r>
    </w:p>
    <w:p w14:paraId="2E8D39FC" w14:textId="59791CF1" w:rsidR="00E078EE" w:rsidRDefault="00E078EE" w:rsidP="00E078EE">
      <w:r>
        <w:t>Why this is a strong choice:</w:t>
      </w:r>
    </w:p>
    <w:p w14:paraId="7AF64AF7" w14:textId="79D3E6DC" w:rsidR="00E078EE" w:rsidRDefault="00E078EE" w:rsidP="00C36648">
      <w:pPr>
        <w:pStyle w:val="ListParagraph"/>
        <w:numPr>
          <w:ilvl w:val="0"/>
          <w:numId w:val="4"/>
        </w:numPr>
      </w:pPr>
      <w:r>
        <w:t>Aligning processes to strategy avoids wasted effort and maximizes impact.</w:t>
      </w:r>
    </w:p>
    <w:p w14:paraId="55A6DE70" w14:textId="77777777" w:rsidR="00E078EE" w:rsidRDefault="00E078EE" w:rsidP="00C36648">
      <w:pPr>
        <w:pStyle w:val="ListParagraph"/>
        <w:numPr>
          <w:ilvl w:val="0"/>
          <w:numId w:val="4"/>
        </w:numPr>
      </w:pPr>
      <w:r>
        <w:t>Explicit focus on customers and value chains embeds market relevance and operational flow.</w:t>
      </w:r>
    </w:p>
    <w:p w14:paraId="7DB06080" w14:textId="77777777" w:rsidR="00E078EE" w:rsidRDefault="00E078EE" w:rsidP="00C36648">
      <w:pPr>
        <w:pStyle w:val="ListParagraph"/>
        <w:numPr>
          <w:ilvl w:val="0"/>
          <w:numId w:val="4"/>
        </w:numPr>
      </w:pPr>
      <w:r>
        <w:t>This feature acts as the compass directing all other process capabilities.</w:t>
      </w:r>
    </w:p>
    <w:p w14:paraId="428686E2" w14:textId="64ECF35E" w:rsidR="00E078EE" w:rsidRDefault="00E078EE" w:rsidP="00E078EE">
      <w:r>
        <w:t>Why these subcomponents fit:</w:t>
      </w:r>
    </w:p>
    <w:p w14:paraId="3DF15F33" w14:textId="296DB975" w:rsidR="00E078EE" w:rsidRDefault="00E078EE" w:rsidP="00C36648">
      <w:pPr>
        <w:pStyle w:val="ListParagraph"/>
        <w:numPr>
          <w:ilvl w:val="0"/>
          <w:numId w:val="11"/>
        </w:numPr>
      </w:pPr>
      <w:r w:rsidRPr="00C36648">
        <w:rPr>
          <w:b/>
          <w:bCs/>
          <w:i/>
          <w:iCs/>
        </w:rPr>
        <w:t>Customer &amp; Stakeholder Centricity</w:t>
      </w:r>
      <w:r>
        <w:t xml:space="preserve"> anchors your process design in external value, ensuring relevance.</w:t>
      </w:r>
    </w:p>
    <w:p w14:paraId="6FDDEBDC" w14:textId="77777777" w:rsidR="00E078EE" w:rsidRDefault="00E078EE" w:rsidP="00C36648">
      <w:pPr>
        <w:pStyle w:val="ListParagraph"/>
        <w:numPr>
          <w:ilvl w:val="0"/>
          <w:numId w:val="11"/>
        </w:numPr>
      </w:pPr>
      <w:r w:rsidRPr="00C36648">
        <w:rPr>
          <w:b/>
          <w:bCs/>
          <w:i/>
          <w:iCs/>
        </w:rPr>
        <w:t>Value Chain Enablement</w:t>
      </w:r>
      <w:r>
        <w:t xml:space="preserve"> ties internal processes to how value is actually delivered, underpinning strategic success.</w:t>
      </w:r>
    </w:p>
    <w:p w14:paraId="4B1A3823" w14:textId="77777777" w:rsidR="00273BD0" w:rsidRDefault="00273BD0" w:rsidP="00273BD0">
      <w:pPr>
        <w:pStyle w:val="ListParagraph"/>
      </w:pPr>
    </w:p>
    <w:p w14:paraId="3D6ECF86" w14:textId="77777777" w:rsidR="00273BD0" w:rsidRPr="00273BD0" w:rsidRDefault="00273BD0" w:rsidP="00273BD0">
      <w:pPr>
        <w:pStyle w:val="ListParagraph"/>
      </w:pPr>
    </w:p>
    <w:p w14:paraId="6A6EF9F3" w14:textId="5967BBA9" w:rsidR="0023248A" w:rsidRPr="007B5851" w:rsidRDefault="0023248A" w:rsidP="0023248A">
      <w:pPr>
        <w:rPr>
          <w:b/>
          <w:bCs/>
        </w:rPr>
      </w:pPr>
      <w:r w:rsidRPr="007B5851">
        <w:rPr>
          <w:b/>
          <w:bCs/>
        </w:rPr>
        <w:t>Agility &amp; Adaptability Empowerment</w:t>
      </w:r>
    </w:p>
    <w:p w14:paraId="2259F4EC" w14:textId="40D3546A" w:rsidR="00D90BDB" w:rsidRDefault="00C068F1" w:rsidP="004E6D68">
      <w:r w:rsidRPr="00C068F1">
        <w:rPr>
          <w:b/>
          <w:bCs/>
        </w:rPr>
        <w:t>Description:</w:t>
      </w:r>
      <w:r>
        <w:t xml:space="preserve"> </w:t>
      </w:r>
      <w:r w:rsidR="00D90BDB" w:rsidRPr="00D90BDB">
        <w:t>This feature emphasizes the organization’s capability to rapidly respond to emerging challenges and evolving business needs through flexibility in how work is approached. It enables teams to seamlessly switch between methodologies such as Agile and Waterfall, selecting the most effective way to deliver outcomes based on situational demands. Empowerment is central here</w:t>
      </w:r>
      <w:r w:rsidR="00493E17">
        <w:t xml:space="preserve">; </w:t>
      </w:r>
      <w:r w:rsidR="00F4112A">
        <w:t>T</w:t>
      </w:r>
      <w:r w:rsidR="00493E17" w:rsidRPr="00E236C9">
        <w:t xml:space="preserve">ailoring </w:t>
      </w:r>
      <w:r w:rsidR="00161919">
        <w:t xml:space="preserve">work instructions </w:t>
      </w:r>
      <w:r w:rsidR="00493E17" w:rsidRPr="00E236C9">
        <w:t xml:space="preserve">within defined boundaries, ensuring local adaptations do not compromise overall process integrity. </w:t>
      </w:r>
      <w:r w:rsidR="00E31579">
        <w:t xml:space="preserve">In addition, </w:t>
      </w:r>
      <w:r w:rsidR="00D90BDB" w:rsidRPr="00D90BDB">
        <w:t>people at all levels are authorized and encouraged to make decisions and adapt processes immediately without waiting for higher-level approvals. This fosters innovation, quick course corrections, and continuous learning to keep the organization competitive and future-ready. The focus is on speed, flexibility, and decentralized decision-making to handle change dynamically.</w:t>
      </w:r>
    </w:p>
    <w:p w14:paraId="6867EF97" w14:textId="5EF3FC72" w:rsidR="00C068F1" w:rsidRDefault="002F49BA" w:rsidP="004E6D68">
      <w:r w:rsidRPr="002F49BA">
        <w:rPr>
          <w:b/>
          <w:bCs/>
        </w:rPr>
        <w:t>Outcome:</w:t>
      </w:r>
      <w:r>
        <w:t xml:space="preserve"> </w:t>
      </w:r>
      <w:r>
        <w:rPr>
          <w:color w:val="27272A"/>
          <w:shd w:val="clear" w:color="auto" w:fill="FFFFFF"/>
        </w:rPr>
        <w:t>Our way of working ensures that capability processes remain flexible, adaptive, and aligned with business needs</w:t>
      </w:r>
    </w:p>
    <w:p w14:paraId="7FFDC570" w14:textId="21FDED37" w:rsidR="004E6D68" w:rsidRDefault="004E6D68" w:rsidP="004E6D68">
      <w:r>
        <w:t>Why this is a strong choice:</w:t>
      </w:r>
    </w:p>
    <w:p w14:paraId="458C4B5B" w14:textId="77777777" w:rsidR="004E6D68" w:rsidRDefault="004E6D68" w:rsidP="00C068F1">
      <w:pPr>
        <w:pStyle w:val="ListParagraph"/>
        <w:numPr>
          <w:ilvl w:val="0"/>
          <w:numId w:val="2"/>
        </w:numPr>
      </w:pPr>
      <w:r>
        <w:t>Markets and technologies evolve rapidly; agility and adaptability are vital to staying competitive.</w:t>
      </w:r>
    </w:p>
    <w:p w14:paraId="3233AAAA" w14:textId="77777777" w:rsidR="004E6D68" w:rsidRDefault="004E6D68" w:rsidP="00C068F1">
      <w:pPr>
        <w:pStyle w:val="ListParagraph"/>
        <w:numPr>
          <w:ilvl w:val="0"/>
          <w:numId w:val="2"/>
        </w:numPr>
      </w:pPr>
      <w:r>
        <w:t>Empowerment removes bottlenecks and encourages ownership, fueling faster response and innovation.</w:t>
      </w:r>
    </w:p>
    <w:p w14:paraId="0D82BF9C" w14:textId="11775231" w:rsidR="004E6D68" w:rsidRDefault="004E6D68" w:rsidP="004E6D68">
      <w:r>
        <w:t>Why the pairing:</w:t>
      </w:r>
    </w:p>
    <w:p w14:paraId="6BFD8875" w14:textId="067F19C9" w:rsidR="004E6D68" w:rsidRDefault="004E6D68" w:rsidP="00C068F1">
      <w:pPr>
        <w:pStyle w:val="ListParagraph"/>
        <w:numPr>
          <w:ilvl w:val="0"/>
          <w:numId w:val="10"/>
        </w:numPr>
      </w:pPr>
      <w:r w:rsidRPr="00141630">
        <w:rPr>
          <w:b/>
          <w:bCs/>
          <w:i/>
          <w:iCs/>
        </w:rPr>
        <w:t>Agility</w:t>
      </w:r>
      <w:r>
        <w:t xml:space="preserve"> and </w:t>
      </w:r>
      <w:r w:rsidR="002B417C" w:rsidRPr="00141630">
        <w:rPr>
          <w:b/>
          <w:bCs/>
          <w:i/>
          <w:iCs/>
        </w:rPr>
        <w:t>A</w:t>
      </w:r>
      <w:r w:rsidRPr="00141630">
        <w:rPr>
          <w:b/>
          <w:bCs/>
          <w:i/>
          <w:iCs/>
        </w:rPr>
        <w:t>daptability</w:t>
      </w:r>
      <w:r>
        <w:t xml:space="preserve"> naturally complement each other to balance fast reaction with durable change.</w:t>
      </w:r>
    </w:p>
    <w:p w14:paraId="4FE1A1F6" w14:textId="3211E052" w:rsidR="00C068F1" w:rsidRDefault="004E6D68" w:rsidP="004E6D68">
      <w:pPr>
        <w:pStyle w:val="ListParagraph"/>
        <w:numPr>
          <w:ilvl w:val="0"/>
          <w:numId w:val="10"/>
        </w:numPr>
      </w:pPr>
      <w:r w:rsidRPr="00141630">
        <w:rPr>
          <w:b/>
          <w:bCs/>
          <w:i/>
          <w:iCs/>
        </w:rPr>
        <w:t>Empowerment</w:t>
      </w:r>
      <w:r>
        <w:t xml:space="preserve"> is the behavioral lever that turns capability into action.</w:t>
      </w:r>
    </w:p>
    <w:p w14:paraId="4E1E68F9" w14:textId="77777777" w:rsidR="009E5AC0" w:rsidRPr="009E5AC0" w:rsidRDefault="009E5AC0" w:rsidP="009E5AC0">
      <w:pPr>
        <w:pStyle w:val="ListParagraph"/>
      </w:pPr>
    </w:p>
    <w:p w14:paraId="49F7F366" w14:textId="6EC36788" w:rsidR="0023248A" w:rsidRPr="007B5851" w:rsidRDefault="0023248A" w:rsidP="0023248A">
      <w:pPr>
        <w:rPr>
          <w:b/>
          <w:bCs/>
        </w:rPr>
      </w:pPr>
      <w:r w:rsidRPr="007B5851">
        <w:rPr>
          <w:b/>
          <w:bCs/>
        </w:rPr>
        <w:t>Integration &amp; Scalability Enablement</w:t>
      </w:r>
    </w:p>
    <w:p w14:paraId="705E7DFC" w14:textId="7867B43C" w:rsidR="00E236C9" w:rsidRDefault="002B417C" w:rsidP="002F49BA">
      <w:r w:rsidRPr="002B417C">
        <w:rPr>
          <w:b/>
          <w:bCs/>
        </w:rPr>
        <w:t>Description:</w:t>
      </w:r>
      <w:r>
        <w:t xml:space="preserve"> </w:t>
      </w:r>
      <w:r w:rsidR="00E236C9" w:rsidRPr="00E236C9">
        <w:t>This feature focuses on establishing a consistent, unified process architecture that supports seamless collaboration across functions and business units while accommodating necessary, controlled flexibility. It ensures that processes, systems, and teams are integrated into cohesive workflows that minimize variability, avoid silos, and eliminate redundancies. Scalability is a core objective</w:t>
      </w:r>
      <w:r w:rsidR="00161919">
        <w:t xml:space="preserve"> where</w:t>
      </w:r>
      <w:r w:rsidR="00F4112A">
        <w:t xml:space="preserve"> </w:t>
      </w:r>
      <w:r w:rsidR="00E236C9" w:rsidRPr="00E236C9">
        <w:t>processes are designed to efficiently handle increasing complexity or volume without sacrificing quality or operational effectiveness. The emphasis is on structural cohesion, repeatability, and sustainable growth through standardized yet adaptable frameworks.</w:t>
      </w:r>
    </w:p>
    <w:p w14:paraId="24763694" w14:textId="6DB9DC7B" w:rsidR="00480986" w:rsidRDefault="00480986" w:rsidP="002F49BA">
      <w:r w:rsidRPr="002B417C">
        <w:rPr>
          <w:b/>
          <w:bCs/>
        </w:rPr>
        <w:t>Outcome:</w:t>
      </w:r>
      <w:r>
        <w:t xml:space="preserve"> </w:t>
      </w:r>
      <w:r w:rsidR="002B417C">
        <w:rPr>
          <w:color w:val="000000"/>
        </w:rPr>
        <w:t>Our business processes are the designed &amp; managed in the most effective manner</w:t>
      </w:r>
    </w:p>
    <w:p w14:paraId="70713D7A" w14:textId="1909864C" w:rsidR="002F49BA" w:rsidRDefault="002F49BA" w:rsidP="002F49BA">
      <w:r>
        <w:t>Why this is a strong choice:</w:t>
      </w:r>
    </w:p>
    <w:p w14:paraId="435053ED" w14:textId="77777777" w:rsidR="002F49BA" w:rsidRDefault="002F49BA" w:rsidP="002B417C">
      <w:pPr>
        <w:pStyle w:val="ListParagraph"/>
        <w:numPr>
          <w:ilvl w:val="0"/>
          <w:numId w:val="1"/>
        </w:numPr>
      </w:pPr>
      <w:r>
        <w:t>Seamless integration reduces friction and errors across process handoffs.</w:t>
      </w:r>
    </w:p>
    <w:p w14:paraId="7BB0866F" w14:textId="77777777" w:rsidR="002F49BA" w:rsidRDefault="002F49BA" w:rsidP="002B417C">
      <w:pPr>
        <w:pStyle w:val="ListParagraph"/>
        <w:numPr>
          <w:ilvl w:val="0"/>
          <w:numId w:val="1"/>
        </w:numPr>
      </w:pPr>
      <w:r>
        <w:t>Scalability underpins growth without exponential resource demands.</w:t>
      </w:r>
    </w:p>
    <w:p w14:paraId="42226320" w14:textId="6C0E7672" w:rsidR="002F49BA" w:rsidRDefault="002F49BA" w:rsidP="002F49BA">
      <w:r>
        <w:t>Why the pairing:</w:t>
      </w:r>
    </w:p>
    <w:p w14:paraId="3C419858" w14:textId="2FD7F06E" w:rsidR="002F49BA" w:rsidRDefault="002F49BA" w:rsidP="004D7315">
      <w:pPr>
        <w:pStyle w:val="ListParagraph"/>
        <w:numPr>
          <w:ilvl w:val="0"/>
          <w:numId w:val="5"/>
        </w:numPr>
      </w:pPr>
      <w:r w:rsidRPr="00141630">
        <w:rPr>
          <w:b/>
          <w:bCs/>
          <w:i/>
          <w:iCs/>
        </w:rPr>
        <w:t>Integration</w:t>
      </w:r>
      <w:r>
        <w:t xml:space="preserve"> is often a prerequisite for </w:t>
      </w:r>
      <w:r w:rsidR="004F4B35" w:rsidRPr="00141630">
        <w:rPr>
          <w:b/>
          <w:bCs/>
          <w:i/>
          <w:iCs/>
        </w:rPr>
        <w:t>S</w:t>
      </w:r>
      <w:r w:rsidRPr="00141630">
        <w:rPr>
          <w:b/>
          <w:bCs/>
          <w:i/>
          <w:iCs/>
        </w:rPr>
        <w:t>calable</w:t>
      </w:r>
      <w:r>
        <w:t xml:space="preserve"> operations; together, they enable sustainable expansion.</w:t>
      </w:r>
    </w:p>
    <w:p w14:paraId="75C72134" w14:textId="1BE58EBD" w:rsidR="00506F90" w:rsidRDefault="002F49BA" w:rsidP="00506F90">
      <w:pPr>
        <w:pStyle w:val="ListParagraph"/>
        <w:numPr>
          <w:ilvl w:val="0"/>
          <w:numId w:val="5"/>
        </w:numPr>
      </w:pPr>
      <w:r w:rsidRPr="00141630">
        <w:rPr>
          <w:b/>
          <w:bCs/>
          <w:i/>
          <w:iCs/>
        </w:rPr>
        <w:t>Enablement</w:t>
      </w:r>
      <w:r w:rsidRPr="00141630">
        <w:rPr>
          <w:i/>
          <w:iCs/>
        </w:rPr>
        <w:t xml:space="preserve"> </w:t>
      </w:r>
      <w:r>
        <w:t>emphasizes removing barriers and providing tools/support to achieve this unity and growth.</w:t>
      </w:r>
    </w:p>
    <w:p w14:paraId="2DBD89AB" w14:textId="77777777" w:rsidR="00FA2C9D" w:rsidRDefault="00FA2C9D" w:rsidP="00FA2C9D">
      <w:pPr>
        <w:pStyle w:val="ListParagraph"/>
      </w:pPr>
    </w:p>
    <w:p w14:paraId="194BD8BA" w14:textId="2547FC48" w:rsidR="0023248A" w:rsidRPr="007B5851" w:rsidRDefault="0023248A" w:rsidP="0023248A">
      <w:pPr>
        <w:rPr>
          <w:b/>
          <w:bCs/>
        </w:rPr>
      </w:pPr>
      <w:r w:rsidRPr="007B5851">
        <w:rPr>
          <w:b/>
          <w:bCs/>
        </w:rPr>
        <w:t>Transparency &amp; Accountability Stewardship</w:t>
      </w:r>
    </w:p>
    <w:p w14:paraId="48AAD3F0" w14:textId="108FF4C4" w:rsidR="00506F90" w:rsidRDefault="004D7315" w:rsidP="004D7315">
      <w:r w:rsidRPr="004D7315">
        <w:rPr>
          <w:b/>
          <w:bCs/>
        </w:rPr>
        <w:t>Description:</w:t>
      </w:r>
      <w:r>
        <w:t xml:space="preserve"> This feature establishes clear oversight and responsibility structures so processes operate reliably and predictably. Transparency builds trust through open communication and visibility into process status and decisions. Accountability ensures assigned owners deliver on commitments. </w:t>
      </w:r>
      <w:r w:rsidR="00506F90">
        <w:t xml:space="preserve">Governance empowers informed decisions and ensures global standards of effectiveness. Honest communication and structured autonomy drive both consistency and results. </w:t>
      </w:r>
      <w:r>
        <w:t>Stewardship implies careful, ethical management of resources and process integrity.</w:t>
      </w:r>
    </w:p>
    <w:p w14:paraId="38EE64F8" w14:textId="1AFE4DC7" w:rsidR="004D7315" w:rsidRDefault="00506F90" w:rsidP="004D7315">
      <w:r w:rsidRPr="00506F90">
        <w:rPr>
          <w:b/>
          <w:bCs/>
        </w:rPr>
        <w:t>Outcomes:</w:t>
      </w:r>
      <w:r>
        <w:t xml:space="preserve"> </w:t>
      </w:r>
      <w:r>
        <w:rPr>
          <w:color w:val="000000"/>
        </w:rPr>
        <w:t>A clear sense of accountability is instilled and demonstrated by decision makers</w:t>
      </w:r>
    </w:p>
    <w:p w14:paraId="393E2CF1" w14:textId="7E8B02FD" w:rsidR="004D7315" w:rsidRDefault="004D7315" w:rsidP="004D7315">
      <w:r>
        <w:t>Why this is a strong choice:</w:t>
      </w:r>
    </w:p>
    <w:p w14:paraId="0E90BC12" w14:textId="4C9DE89E" w:rsidR="000C3214" w:rsidRDefault="004D7315" w:rsidP="00D633F5">
      <w:pPr>
        <w:pStyle w:val="ListParagraph"/>
        <w:numPr>
          <w:ilvl w:val="0"/>
          <w:numId w:val="12"/>
        </w:numPr>
      </w:pPr>
      <w:r>
        <w:t xml:space="preserve">Good governance and clarity </w:t>
      </w:r>
      <w:r w:rsidR="00C5246F">
        <w:t xml:space="preserve">of decision rights </w:t>
      </w:r>
      <w:r w:rsidR="00D633F5">
        <w:t>provide a framework for consistent operations</w:t>
      </w:r>
      <w:r>
        <w:t>.</w:t>
      </w:r>
    </w:p>
    <w:p w14:paraId="0E5637D5" w14:textId="1CA8A94B" w:rsidR="00D633F5" w:rsidRDefault="00D633F5" w:rsidP="00D633F5">
      <w:pPr>
        <w:pStyle w:val="ListParagraph"/>
        <w:numPr>
          <w:ilvl w:val="0"/>
          <w:numId w:val="12"/>
        </w:numPr>
      </w:pPr>
      <w:r>
        <w:t>Decision Rights specify who makes which decisions, avoiding ambiguity and delays</w:t>
      </w:r>
    </w:p>
    <w:p w14:paraId="7172A87B" w14:textId="51F6531B" w:rsidR="000C3214" w:rsidRDefault="000C3214" w:rsidP="00D633F5">
      <w:r>
        <w:t>Why the pairing:</w:t>
      </w:r>
    </w:p>
    <w:p w14:paraId="6E3AC538" w14:textId="2E20C4AB" w:rsidR="004D7315" w:rsidRDefault="004D7315" w:rsidP="00506F90">
      <w:pPr>
        <w:pStyle w:val="ListParagraph"/>
        <w:numPr>
          <w:ilvl w:val="0"/>
          <w:numId w:val="12"/>
        </w:numPr>
      </w:pPr>
      <w:r w:rsidRPr="00141630">
        <w:rPr>
          <w:b/>
          <w:bCs/>
          <w:i/>
          <w:iCs/>
        </w:rPr>
        <w:t>Transparency</w:t>
      </w:r>
      <w:r w:rsidRPr="00141630">
        <w:rPr>
          <w:i/>
          <w:iCs/>
        </w:rPr>
        <w:t xml:space="preserve"> </w:t>
      </w:r>
      <w:r>
        <w:t xml:space="preserve">and </w:t>
      </w:r>
      <w:r w:rsidR="002C0947" w:rsidRPr="00141630">
        <w:rPr>
          <w:b/>
          <w:bCs/>
          <w:i/>
          <w:iCs/>
        </w:rPr>
        <w:t>A</w:t>
      </w:r>
      <w:r w:rsidRPr="00141630">
        <w:rPr>
          <w:b/>
          <w:bCs/>
          <w:i/>
          <w:iCs/>
        </w:rPr>
        <w:t>ccountability</w:t>
      </w:r>
      <w:r>
        <w:t xml:space="preserve"> are essential for trust, compliance, and continuous improvement.</w:t>
      </w:r>
    </w:p>
    <w:p w14:paraId="6A4C9EC5" w14:textId="77777777" w:rsidR="002C0947" w:rsidRDefault="002C0947" w:rsidP="00D44C5A">
      <w:pPr>
        <w:pStyle w:val="ListParagraph"/>
      </w:pPr>
    </w:p>
    <w:p w14:paraId="5D95B0CE" w14:textId="3F514639" w:rsidR="0023248A" w:rsidRPr="007B5851" w:rsidRDefault="0023248A" w:rsidP="0023248A">
      <w:pPr>
        <w:rPr>
          <w:b/>
          <w:bCs/>
        </w:rPr>
      </w:pPr>
      <w:r w:rsidRPr="007B5851">
        <w:rPr>
          <w:b/>
          <w:bCs/>
        </w:rPr>
        <w:t>Interoperability &amp; Harmonization Enablement</w:t>
      </w:r>
    </w:p>
    <w:p w14:paraId="52ACC94E" w14:textId="181406CC" w:rsidR="0023248A" w:rsidRDefault="007B17A9" w:rsidP="0023248A">
      <w:r w:rsidRPr="00D44C5A">
        <w:rPr>
          <w:b/>
          <w:bCs/>
        </w:rPr>
        <w:t>Description</w:t>
      </w:r>
      <w:r w:rsidR="005F444C" w:rsidRPr="00D44C5A">
        <w:rPr>
          <w:b/>
          <w:bCs/>
        </w:rPr>
        <w:t>:</w:t>
      </w:r>
      <w:r w:rsidR="005F444C">
        <w:t xml:space="preserve"> </w:t>
      </w:r>
      <w:r w:rsidR="009A0A87">
        <w:t xml:space="preserve">This feature </w:t>
      </w:r>
      <w:r w:rsidR="000C4E86">
        <w:t>works to</w:t>
      </w:r>
      <w:r w:rsidR="0023248A">
        <w:t xml:space="preserve"> design processes for compatibility and repeatability across teams and functions, using standard frameworks and streamlined handoffs. </w:t>
      </w:r>
      <w:r w:rsidR="000C4E86">
        <w:t xml:space="preserve">This means different processes, systems, and teams can communicate and work together effectively, even if they differ in some respects. Harmonization ensures these elements are also aligned and compatible, minimizing unnecessary variation. </w:t>
      </w:r>
      <w:r w:rsidR="0023248A">
        <w:t>Work flows seamlessly, eliminating silos and fragmentation, and new processes integrate with minimal disruption. This ensures coordinated collaboration and consistent results organization-wide</w:t>
      </w:r>
      <w:r w:rsidR="003D578D">
        <w:t xml:space="preserve"> where consistency is the measurable outcome: reliable, repeatable process execution.</w:t>
      </w:r>
    </w:p>
    <w:p w14:paraId="2F350627" w14:textId="6BE2DCD8" w:rsidR="007B17A9" w:rsidRPr="007B17A9" w:rsidRDefault="00AB105C" w:rsidP="00FA2C9D">
      <w:pPr>
        <w:rPr>
          <w:color w:val="000000"/>
        </w:rPr>
      </w:pPr>
      <w:r w:rsidRPr="007B17A9">
        <w:rPr>
          <w:b/>
          <w:bCs/>
        </w:rPr>
        <w:t xml:space="preserve">Outcome: </w:t>
      </w:r>
      <w:r w:rsidR="007B17A9">
        <w:rPr>
          <w:color w:val="000000"/>
        </w:rPr>
        <w:t>The most reliable and repeatable processes exist</w:t>
      </w:r>
    </w:p>
    <w:p w14:paraId="5D010451" w14:textId="0AE29AF8" w:rsidR="00FA2C9D" w:rsidRDefault="00FA2C9D" w:rsidP="00FA2C9D">
      <w:r>
        <w:t>Why this is a strong choice:</w:t>
      </w:r>
    </w:p>
    <w:p w14:paraId="0B0F802E" w14:textId="3C3B701B" w:rsidR="00FA2C9D" w:rsidRDefault="007B17A9" w:rsidP="007B17A9">
      <w:pPr>
        <w:pStyle w:val="ListParagraph"/>
        <w:numPr>
          <w:ilvl w:val="0"/>
          <w:numId w:val="6"/>
        </w:numPr>
      </w:pPr>
      <w:r w:rsidRPr="00D44C5A">
        <w:t>I</w:t>
      </w:r>
      <w:r w:rsidR="00FA2C9D" w:rsidRPr="00D44C5A">
        <w:t>nteroperability</w:t>
      </w:r>
      <w:r w:rsidR="003523AD" w:rsidRPr="00D44C5A">
        <w:t xml:space="preserve"> </w:t>
      </w:r>
      <w:r w:rsidR="003523AD">
        <w:t xml:space="preserve">directly supports quality and efficiency. Without it, </w:t>
      </w:r>
      <w:r w:rsidR="00FA2C9D">
        <w:t>processes become isolated silos.</w:t>
      </w:r>
    </w:p>
    <w:p w14:paraId="7A0BFF81" w14:textId="43BA4660" w:rsidR="00FA2C9D" w:rsidRDefault="00FA2C9D" w:rsidP="009E5C12">
      <w:pPr>
        <w:pStyle w:val="ListParagraph"/>
        <w:numPr>
          <w:ilvl w:val="0"/>
          <w:numId w:val="6"/>
        </w:numPr>
      </w:pPr>
      <w:r w:rsidRPr="00D44C5A">
        <w:t xml:space="preserve">Harmonization </w:t>
      </w:r>
      <w:r>
        <w:t>reduces complexity while allowing flexibility where needed.</w:t>
      </w:r>
    </w:p>
    <w:p w14:paraId="30098DB8" w14:textId="63020035" w:rsidR="00FA2C9D" w:rsidRDefault="00FA2C9D" w:rsidP="00FA2C9D">
      <w:r>
        <w:t>Why the pairing:</w:t>
      </w:r>
    </w:p>
    <w:p w14:paraId="798EA335" w14:textId="2E7690A1" w:rsidR="00FA2C9D" w:rsidRDefault="005F444C" w:rsidP="005F444C">
      <w:pPr>
        <w:pStyle w:val="ListParagraph"/>
        <w:numPr>
          <w:ilvl w:val="0"/>
          <w:numId w:val="3"/>
        </w:numPr>
      </w:pPr>
      <w:r w:rsidRPr="00141630">
        <w:rPr>
          <w:b/>
          <w:bCs/>
          <w:i/>
          <w:iCs/>
        </w:rPr>
        <w:t>Inte</w:t>
      </w:r>
      <w:r w:rsidR="008B7DAB" w:rsidRPr="00141630">
        <w:rPr>
          <w:b/>
          <w:bCs/>
          <w:i/>
          <w:iCs/>
        </w:rPr>
        <w:t>roperability</w:t>
      </w:r>
      <w:r w:rsidR="00FA2C9D">
        <w:t xml:space="preserve"> flows naturally from effective </w:t>
      </w:r>
      <w:r w:rsidR="00D44C5A" w:rsidRPr="00141630">
        <w:rPr>
          <w:b/>
          <w:bCs/>
          <w:i/>
          <w:iCs/>
        </w:rPr>
        <w:t>H</w:t>
      </w:r>
      <w:r w:rsidR="00FA2C9D" w:rsidRPr="00141630">
        <w:rPr>
          <w:b/>
          <w:bCs/>
          <w:i/>
          <w:iCs/>
        </w:rPr>
        <w:t>armonization</w:t>
      </w:r>
      <w:r w:rsidR="00FA2C9D">
        <w:t xml:space="preserve"> — it’s the business benefit of aligned practices.</w:t>
      </w:r>
    </w:p>
    <w:p w14:paraId="49B39E3C" w14:textId="0CFADFC2" w:rsidR="0023248A" w:rsidRDefault="00FA2C9D" w:rsidP="0023248A">
      <w:pPr>
        <w:pStyle w:val="ListParagraph"/>
        <w:numPr>
          <w:ilvl w:val="0"/>
          <w:numId w:val="3"/>
        </w:numPr>
      </w:pPr>
      <w:r w:rsidRPr="00141630">
        <w:rPr>
          <w:b/>
          <w:bCs/>
          <w:i/>
          <w:iCs/>
        </w:rPr>
        <w:t>Enablement</w:t>
      </w:r>
      <w:r>
        <w:t xml:space="preserve"> highlights active support for connectivity and alignment.</w:t>
      </w:r>
    </w:p>
    <w:p w14:paraId="778DEF69" w14:textId="77777777" w:rsidR="009E5AC0" w:rsidRPr="009E5AC0" w:rsidRDefault="009E5AC0" w:rsidP="009E5AC0">
      <w:pPr>
        <w:pStyle w:val="ListParagraph"/>
      </w:pPr>
    </w:p>
    <w:p w14:paraId="0D60543C" w14:textId="11A19EFC" w:rsidR="0023248A" w:rsidRPr="007B5851" w:rsidRDefault="0023248A" w:rsidP="0023248A">
      <w:pPr>
        <w:rPr>
          <w:b/>
          <w:bCs/>
        </w:rPr>
      </w:pPr>
      <w:r w:rsidRPr="007B5851">
        <w:rPr>
          <w:b/>
          <w:bCs/>
        </w:rPr>
        <w:t>Continuous Improvement</w:t>
      </w:r>
    </w:p>
    <w:p w14:paraId="7CC0AF41" w14:textId="3D4C81C8" w:rsidR="00E078EE" w:rsidRDefault="0023248A" w:rsidP="00E078EE">
      <w:r>
        <w:t>Continuous Improvement drives ongoing evolution by embedding iterative learning and adaptation into our ways of working</w:t>
      </w:r>
      <w:r w:rsidR="009E5C12">
        <w:t xml:space="preserve"> </w:t>
      </w:r>
      <w:r w:rsidR="00A20921">
        <w:t>through data-driven refinement to ensure processes do not stagnate but evolve to become more effective and efficient over time.</w:t>
      </w:r>
      <w:r>
        <w:t xml:space="preserve"> </w:t>
      </w:r>
      <w:r w:rsidR="004F4B35">
        <w:t xml:space="preserve">It promotes a culture where insights </w:t>
      </w:r>
      <w:r>
        <w:t xml:space="preserve">from projects, audits, and stakeholder feedback </w:t>
      </w:r>
      <w:r w:rsidR="004F4B35">
        <w:t>systematically</w:t>
      </w:r>
      <w:r>
        <w:t xml:space="preserve"> refine our process design and frameworks. Teams see their input make real changes, fostering engagement and a culture of innovation.</w:t>
      </w:r>
    </w:p>
    <w:p w14:paraId="22B14A81" w14:textId="6AF074D7" w:rsidR="000C481A" w:rsidRDefault="000C481A" w:rsidP="00E078EE">
      <w:r w:rsidRPr="00D44C5A">
        <w:rPr>
          <w:b/>
          <w:bCs/>
        </w:rPr>
        <w:t xml:space="preserve">Outcome: </w:t>
      </w:r>
      <w:r w:rsidR="00D44C5A">
        <w:rPr>
          <w:color w:val="27272A"/>
          <w:shd w:val="clear" w:color="auto" w:fill="FFFFFF"/>
        </w:rPr>
        <w:t>How we work supports iterative learning and adaptations to our "ways of working"</w:t>
      </w:r>
    </w:p>
    <w:p w14:paraId="17583AEB" w14:textId="0F73B178" w:rsidR="00E078EE" w:rsidRDefault="00E078EE" w:rsidP="00E078EE">
      <w:r>
        <w:t>Why this is a strong choice:</w:t>
      </w:r>
    </w:p>
    <w:p w14:paraId="2ED903F7" w14:textId="7F32BD49" w:rsidR="00E078EE" w:rsidRDefault="00E078EE" w:rsidP="009E5C12">
      <w:pPr>
        <w:pStyle w:val="ListParagraph"/>
        <w:numPr>
          <w:ilvl w:val="0"/>
          <w:numId w:val="9"/>
        </w:numPr>
      </w:pPr>
      <w:r w:rsidRPr="00141630">
        <w:t xml:space="preserve">Continuous </w:t>
      </w:r>
      <w:r w:rsidR="009E5C12" w:rsidRPr="00141630">
        <w:t>I</w:t>
      </w:r>
      <w:r w:rsidRPr="00141630">
        <w:t>mprovement</w:t>
      </w:r>
      <w:r>
        <w:t xml:space="preserve"> is critical for long-term competitiveness and adaptability.</w:t>
      </w:r>
    </w:p>
    <w:p w14:paraId="5679F638" w14:textId="77777777" w:rsidR="00E078EE" w:rsidRDefault="00E078EE" w:rsidP="009E5C12">
      <w:pPr>
        <w:pStyle w:val="ListParagraph"/>
        <w:numPr>
          <w:ilvl w:val="0"/>
          <w:numId w:val="9"/>
        </w:numPr>
      </w:pPr>
      <w:r>
        <w:t>It ensures processes keep pace with changing environments and internal learnings.</w:t>
      </w:r>
    </w:p>
    <w:p w14:paraId="1220771B" w14:textId="42D11F2E" w:rsidR="00E078EE" w:rsidRDefault="00E078EE" w:rsidP="00E078EE">
      <w:r>
        <w:t>Why standalone:</w:t>
      </w:r>
    </w:p>
    <w:p w14:paraId="1FC910F5" w14:textId="644A5F04" w:rsidR="00E078EE" w:rsidRDefault="00141630" w:rsidP="009E5C12">
      <w:pPr>
        <w:pStyle w:val="ListParagraph"/>
        <w:numPr>
          <w:ilvl w:val="0"/>
          <w:numId w:val="8"/>
        </w:numPr>
      </w:pPr>
      <w:r w:rsidRPr="00141630">
        <w:rPr>
          <w:b/>
          <w:bCs/>
          <w:i/>
          <w:iCs/>
        </w:rPr>
        <w:t>Continuous Improvement</w:t>
      </w:r>
      <w:r>
        <w:rPr>
          <w:b/>
          <w:bCs/>
        </w:rPr>
        <w:t xml:space="preserve"> </w:t>
      </w:r>
      <w:r w:rsidRPr="00141630">
        <w:t>is</w:t>
      </w:r>
      <w:r w:rsidR="00E078EE" w:rsidRPr="00141630">
        <w:t xml:space="preserve"> </w:t>
      </w:r>
      <w:r w:rsidR="00E078EE">
        <w:t>connected to all features, it deserves explicit focus because it drives evolution and resilience in the entire capability.</w:t>
      </w:r>
    </w:p>
    <w:p w14:paraId="37F82265" w14:textId="77777777" w:rsidR="00DB37B7" w:rsidRDefault="00DB37B7" w:rsidP="00DB37B7"/>
    <w:tbl>
      <w:tblPr>
        <w:tblW w:w="9180" w:type="dxa"/>
        <w:tblLook w:val="04A0" w:firstRow="1" w:lastRow="0" w:firstColumn="1" w:lastColumn="0" w:noHBand="0" w:noVBand="1"/>
      </w:tblPr>
      <w:tblGrid>
        <w:gridCol w:w="2860"/>
        <w:gridCol w:w="6320"/>
      </w:tblGrid>
      <w:tr w:rsidR="008C5CE2" w:rsidRPr="008C5CE2" w14:paraId="691A089D" w14:textId="77777777" w:rsidTr="008C5CE2">
        <w:trPr>
          <w:trHeight w:val="840"/>
        </w:trPr>
        <w:tc>
          <w:tcPr>
            <w:tcW w:w="2860" w:type="dxa"/>
            <w:tcBorders>
              <w:top w:val="single" w:sz="4" w:space="0" w:color="auto"/>
              <w:left w:val="single" w:sz="4" w:space="0" w:color="auto"/>
              <w:bottom w:val="single" w:sz="4" w:space="0" w:color="auto"/>
              <w:right w:val="single" w:sz="4" w:space="0" w:color="auto"/>
            </w:tcBorders>
            <w:vAlign w:val="center"/>
            <w:hideMark/>
          </w:tcPr>
          <w:p w14:paraId="1061D60F" w14:textId="77777777" w:rsidR="008C5CE2" w:rsidRPr="008C5CE2" w:rsidRDefault="008C5CE2" w:rsidP="008C5CE2">
            <w:pPr>
              <w:spacing w:after="0" w:line="240" w:lineRule="auto"/>
              <w:rPr>
                <w:rFonts w:ascii="Aptos" w:eastAsia="Times New Roman" w:hAnsi="Aptos" w:cs="Times New Roman"/>
                <w:b/>
                <w:bCs/>
                <w:color w:val="000000"/>
                <w:kern w:val="0"/>
                <w14:ligatures w14:val="none"/>
              </w:rPr>
            </w:pPr>
            <w:r w:rsidRPr="008C5CE2">
              <w:rPr>
                <w:rFonts w:ascii="Aptos" w:eastAsia="Times New Roman" w:hAnsi="Aptos" w:cs="Times New Roman"/>
                <w:b/>
                <w:bCs/>
                <w:color w:val="000000"/>
                <w:kern w:val="0"/>
                <w14:ligatures w14:val="none"/>
              </w:rPr>
              <w:t>Areas for Further Development</w:t>
            </w:r>
          </w:p>
        </w:tc>
        <w:tc>
          <w:tcPr>
            <w:tcW w:w="6320" w:type="dxa"/>
            <w:tcBorders>
              <w:top w:val="single" w:sz="4" w:space="0" w:color="auto"/>
              <w:left w:val="nil"/>
              <w:bottom w:val="single" w:sz="4" w:space="0" w:color="auto"/>
              <w:right w:val="single" w:sz="4" w:space="0" w:color="auto"/>
            </w:tcBorders>
            <w:vAlign w:val="center"/>
            <w:hideMark/>
          </w:tcPr>
          <w:p w14:paraId="145DAF48" w14:textId="77777777" w:rsidR="008C5CE2" w:rsidRPr="008C5CE2" w:rsidRDefault="008C5CE2" w:rsidP="008C5CE2">
            <w:pPr>
              <w:spacing w:after="0" w:line="240" w:lineRule="auto"/>
              <w:rPr>
                <w:rFonts w:ascii="Aptos" w:eastAsia="Times New Roman" w:hAnsi="Aptos" w:cs="Times New Roman"/>
                <w:b/>
                <w:bCs/>
                <w:color w:val="000000"/>
                <w:kern w:val="0"/>
                <w14:ligatures w14:val="none"/>
              </w:rPr>
            </w:pPr>
            <w:r w:rsidRPr="008C5CE2">
              <w:rPr>
                <w:rFonts w:ascii="Aptos" w:eastAsia="Times New Roman" w:hAnsi="Aptos" w:cs="Times New Roman"/>
                <w:b/>
                <w:bCs/>
                <w:color w:val="000000"/>
                <w:kern w:val="0"/>
                <w14:ligatures w14:val="none"/>
              </w:rPr>
              <w:t>Potential Project Descriptions</w:t>
            </w:r>
          </w:p>
        </w:tc>
      </w:tr>
      <w:tr w:rsidR="008C5CE2" w:rsidRPr="008C5CE2" w14:paraId="2D4E9912" w14:textId="77777777" w:rsidTr="008C5CE2">
        <w:trPr>
          <w:trHeight w:val="1360"/>
        </w:trPr>
        <w:tc>
          <w:tcPr>
            <w:tcW w:w="2860" w:type="dxa"/>
            <w:tcBorders>
              <w:top w:val="nil"/>
              <w:left w:val="single" w:sz="4" w:space="0" w:color="auto"/>
              <w:bottom w:val="single" w:sz="4" w:space="0" w:color="auto"/>
              <w:right w:val="single" w:sz="4" w:space="0" w:color="auto"/>
            </w:tcBorders>
            <w:hideMark/>
          </w:tcPr>
          <w:p w14:paraId="26C9565D" w14:textId="77777777" w:rsidR="008C5CE2" w:rsidRPr="008C5CE2" w:rsidRDefault="008C5CE2" w:rsidP="008C5CE2">
            <w:pPr>
              <w:spacing w:after="0" w:line="240" w:lineRule="auto"/>
              <w:rPr>
                <w:rFonts w:ascii="Aptos" w:eastAsia="Times New Roman" w:hAnsi="Aptos" w:cs="Times New Roman"/>
                <w:color w:val="000000"/>
                <w:kern w:val="0"/>
                <w14:ligatures w14:val="none"/>
              </w:rPr>
            </w:pPr>
            <w:r w:rsidRPr="008C5CE2">
              <w:rPr>
                <w:rFonts w:ascii="Aptos" w:eastAsia="Times New Roman" w:hAnsi="Aptos" w:cs="Times New Roman"/>
                <w:color w:val="000000"/>
                <w:kern w:val="0"/>
                <w14:ligatures w14:val="none"/>
              </w:rPr>
              <w:t>Explicit Input/Output Quality Controls</w:t>
            </w:r>
          </w:p>
        </w:tc>
        <w:tc>
          <w:tcPr>
            <w:tcW w:w="6320" w:type="dxa"/>
            <w:tcBorders>
              <w:top w:val="nil"/>
              <w:left w:val="nil"/>
              <w:bottom w:val="single" w:sz="4" w:space="0" w:color="auto"/>
              <w:right w:val="single" w:sz="4" w:space="0" w:color="auto"/>
            </w:tcBorders>
            <w:hideMark/>
          </w:tcPr>
          <w:p w14:paraId="1502F3C5" w14:textId="77777777" w:rsidR="008C5CE2" w:rsidRPr="008C5CE2" w:rsidRDefault="008C5CE2" w:rsidP="008C5CE2">
            <w:pPr>
              <w:spacing w:after="0" w:line="240" w:lineRule="auto"/>
              <w:rPr>
                <w:rFonts w:ascii="Aptos" w:eastAsia="Times New Roman" w:hAnsi="Aptos" w:cs="Times New Roman"/>
                <w:color w:val="000000"/>
                <w:kern w:val="0"/>
                <w14:ligatures w14:val="none"/>
              </w:rPr>
            </w:pPr>
            <w:r w:rsidRPr="008C5CE2">
              <w:rPr>
                <w:rFonts w:ascii="Aptos" w:eastAsia="Times New Roman" w:hAnsi="Aptos" w:cs="Times New Roman"/>
                <w:color w:val="000000"/>
                <w:kern w:val="0"/>
                <w14:ligatures w14:val="none"/>
              </w:rPr>
              <w:t>Develop formal standards, templates, and metrics for input/output quality under Integration &amp; Scalability or Transparency &amp; Accountability features. Ensure ownership and monitoring mechanisms are clear.</w:t>
            </w:r>
          </w:p>
        </w:tc>
      </w:tr>
      <w:tr w:rsidR="008C5CE2" w:rsidRPr="008C5CE2" w14:paraId="675FF789" w14:textId="77777777" w:rsidTr="008C5CE2">
        <w:trPr>
          <w:trHeight w:val="1140"/>
        </w:trPr>
        <w:tc>
          <w:tcPr>
            <w:tcW w:w="2860" w:type="dxa"/>
            <w:tcBorders>
              <w:top w:val="nil"/>
              <w:left w:val="single" w:sz="4" w:space="0" w:color="auto"/>
              <w:bottom w:val="single" w:sz="4" w:space="0" w:color="auto"/>
              <w:right w:val="single" w:sz="4" w:space="0" w:color="auto"/>
            </w:tcBorders>
            <w:hideMark/>
          </w:tcPr>
          <w:p w14:paraId="3B530C79" w14:textId="77777777" w:rsidR="008C5CE2" w:rsidRPr="008C5CE2" w:rsidRDefault="008C5CE2" w:rsidP="008C5CE2">
            <w:pPr>
              <w:spacing w:after="0" w:line="240" w:lineRule="auto"/>
              <w:rPr>
                <w:rFonts w:ascii="Aptos" w:eastAsia="Times New Roman" w:hAnsi="Aptos" w:cs="Times New Roman"/>
                <w:color w:val="000000"/>
                <w:kern w:val="0"/>
                <w14:ligatures w14:val="none"/>
              </w:rPr>
            </w:pPr>
            <w:r w:rsidRPr="008C5CE2">
              <w:rPr>
                <w:rFonts w:ascii="Aptos" w:eastAsia="Times New Roman" w:hAnsi="Aptos" w:cs="Times New Roman"/>
                <w:color w:val="000000"/>
                <w:kern w:val="0"/>
                <w14:ligatures w14:val="none"/>
              </w:rPr>
              <w:t>Feedback Loops for Local Customizations</w:t>
            </w:r>
          </w:p>
        </w:tc>
        <w:tc>
          <w:tcPr>
            <w:tcW w:w="6320" w:type="dxa"/>
            <w:tcBorders>
              <w:top w:val="nil"/>
              <w:left w:val="nil"/>
              <w:bottom w:val="single" w:sz="4" w:space="0" w:color="auto"/>
              <w:right w:val="single" w:sz="4" w:space="0" w:color="auto"/>
            </w:tcBorders>
            <w:hideMark/>
          </w:tcPr>
          <w:p w14:paraId="7C125BFD" w14:textId="77777777" w:rsidR="008C5CE2" w:rsidRPr="008C5CE2" w:rsidRDefault="008C5CE2" w:rsidP="008C5CE2">
            <w:pPr>
              <w:spacing w:after="0" w:line="240" w:lineRule="auto"/>
              <w:rPr>
                <w:rFonts w:ascii="Aptos" w:eastAsia="Times New Roman" w:hAnsi="Aptos" w:cs="Times New Roman"/>
                <w:color w:val="000000"/>
                <w:kern w:val="0"/>
                <w14:ligatures w14:val="none"/>
              </w:rPr>
            </w:pPr>
            <w:r w:rsidRPr="008C5CE2">
              <w:rPr>
                <w:rFonts w:ascii="Aptos" w:eastAsia="Times New Roman" w:hAnsi="Aptos" w:cs="Times New Roman"/>
                <w:color w:val="000000"/>
                <w:kern w:val="0"/>
                <w14:ligatures w14:val="none"/>
              </w:rPr>
              <w:t>Establish clear feedback loops integrated with Continuous Improvement and Transparency &amp; Accountability to detect process drift and realign local adaptations as needed.</w:t>
            </w:r>
          </w:p>
        </w:tc>
      </w:tr>
      <w:tr w:rsidR="008C5CE2" w:rsidRPr="008C5CE2" w14:paraId="3F502CE9" w14:textId="77777777" w:rsidTr="008C5CE2">
        <w:trPr>
          <w:trHeight w:val="1360"/>
        </w:trPr>
        <w:tc>
          <w:tcPr>
            <w:tcW w:w="2860" w:type="dxa"/>
            <w:tcBorders>
              <w:top w:val="nil"/>
              <w:left w:val="single" w:sz="4" w:space="0" w:color="auto"/>
              <w:bottom w:val="single" w:sz="4" w:space="0" w:color="auto"/>
              <w:right w:val="single" w:sz="4" w:space="0" w:color="auto"/>
            </w:tcBorders>
            <w:hideMark/>
          </w:tcPr>
          <w:p w14:paraId="67A841EC" w14:textId="77777777" w:rsidR="008C5CE2" w:rsidRPr="008C5CE2" w:rsidRDefault="008C5CE2" w:rsidP="008C5CE2">
            <w:pPr>
              <w:spacing w:after="0" w:line="240" w:lineRule="auto"/>
              <w:rPr>
                <w:rFonts w:ascii="Aptos" w:eastAsia="Times New Roman" w:hAnsi="Aptos" w:cs="Times New Roman"/>
                <w:color w:val="000000"/>
                <w:kern w:val="0"/>
                <w14:ligatures w14:val="none"/>
              </w:rPr>
            </w:pPr>
            <w:r w:rsidRPr="008C5CE2">
              <w:rPr>
                <w:rFonts w:ascii="Aptos" w:eastAsia="Times New Roman" w:hAnsi="Aptos" w:cs="Times New Roman"/>
                <w:color w:val="000000"/>
                <w:kern w:val="0"/>
                <w14:ligatures w14:val="none"/>
              </w:rPr>
              <w:t>Risk Management and Compliance</w:t>
            </w:r>
          </w:p>
        </w:tc>
        <w:tc>
          <w:tcPr>
            <w:tcW w:w="6320" w:type="dxa"/>
            <w:tcBorders>
              <w:top w:val="nil"/>
              <w:left w:val="nil"/>
              <w:bottom w:val="single" w:sz="4" w:space="0" w:color="auto"/>
              <w:right w:val="single" w:sz="4" w:space="0" w:color="auto"/>
            </w:tcBorders>
            <w:hideMark/>
          </w:tcPr>
          <w:p w14:paraId="3CF5DDF1" w14:textId="59E73018" w:rsidR="008C5CE2" w:rsidRPr="008C5CE2" w:rsidRDefault="00E31579" w:rsidP="008C5CE2">
            <w:pPr>
              <w:spacing w:after="0" w:line="240" w:lineRule="auto"/>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I</w:t>
            </w:r>
            <w:r w:rsidR="008C5CE2" w:rsidRPr="008C5CE2">
              <w:rPr>
                <w:rFonts w:ascii="Aptos" w:eastAsia="Times New Roman" w:hAnsi="Aptos" w:cs="Times New Roman"/>
                <w:color w:val="000000"/>
                <w:kern w:val="0"/>
                <w14:ligatures w14:val="none"/>
              </w:rPr>
              <w:t>ncorporating risk and compliance management aspects within Transparency &amp; Accountability or as a distinct sub-feature to ensure processes remain compliant and robust amid changes.</w:t>
            </w:r>
          </w:p>
        </w:tc>
      </w:tr>
      <w:tr w:rsidR="008C5CE2" w:rsidRPr="008C5CE2" w14:paraId="2DF728D6" w14:textId="77777777" w:rsidTr="008C5CE2">
        <w:trPr>
          <w:trHeight w:val="1020"/>
        </w:trPr>
        <w:tc>
          <w:tcPr>
            <w:tcW w:w="2860" w:type="dxa"/>
            <w:tcBorders>
              <w:top w:val="nil"/>
              <w:left w:val="single" w:sz="4" w:space="0" w:color="auto"/>
              <w:bottom w:val="single" w:sz="4" w:space="0" w:color="auto"/>
              <w:right w:val="single" w:sz="4" w:space="0" w:color="auto"/>
            </w:tcBorders>
            <w:hideMark/>
          </w:tcPr>
          <w:p w14:paraId="01D7AFA1" w14:textId="77777777" w:rsidR="008C5CE2" w:rsidRPr="008C5CE2" w:rsidRDefault="008C5CE2" w:rsidP="008C5CE2">
            <w:pPr>
              <w:spacing w:after="0" w:line="240" w:lineRule="auto"/>
              <w:rPr>
                <w:rFonts w:ascii="Aptos" w:eastAsia="Times New Roman" w:hAnsi="Aptos" w:cs="Times New Roman"/>
                <w:color w:val="000000"/>
                <w:kern w:val="0"/>
                <w14:ligatures w14:val="none"/>
              </w:rPr>
            </w:pPr>
            <w:r w:rsidRPr="008C5CE2">
              <w:rPr>
                <w:rFonts w:ascii="Aptos" w:eastAsia="Times New Roman" w:hAnsi="Aptos" w:cs="Times New Roman"/>
                <w:color w:val="000000"/>
                <w:kern w:val="0"/>
                <w14:ligatures w14:val="none"/>
              </w:rPr>
              <w:t>Digital Enablement / Tooling</w:t>
            </w:r>
          </w:p>
        </w:tc>
        <w:tc>
          <w:tcPr>
            <w:tcW w:w="6320" w:type="dxa"/>
            <w:tcBorders>
              <w:top w:val="nil"/>
              <w:left w:val="nil"/>
              <w:bottom w:val="single" w:sz="4" w:space="0" w:color="auto"/>
              <w:right w:val="single" w:sz="4" w:space="0" w:color="auto"/>
            </w:tcBorders>
            <w:hideMark/>
          </w:tcPr>
          <w:p w14:paraId="4A7963D1" w14:textId="0B8F77B5" w:rsidR="008C5CE2" w:rsidRPr="008C5CE2" w:rsidRDefault="00733705" w:rsidP="008C5CE2">
            <w:pPr>
              <w:spacing w:after="0" w:line="240" w:lineRule="auto"/>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Define what application</w:t>
            </w:r>
            <w:r w:rsidR="008C5CE2" w:rsidRPr="008C5CE2">
              <w:rPr>
                <w:rFonts w:ascii="Aptos" w:eastAsia="Times New Roman" w:hAnsi="Aptos" w:cs="Times New Roman"/>
                <w:color w:val="000000"/>
                <w:kern w:val="0"/>
                <w14:ligatures w14:val="none"/>
              </w:rPr>
              <w:t xml:space="preserve"> support</w:t>
            </w:r>
            <w:r w:rsidR="003E0D3E">
              <w:rPr>
                <w:rFonts w:ascii="Aptos" w:eastAsia="Times New Roman" w:hAnsi="Aptos" w:cs="Times New Roman"/>
                <w:color w:val="000000"/>
                <w:kern w:val="0"/>
                <w14:ligatures w14:val="none"/>
              </w:rPr>
              <w:t xml:space="preserve"> would drive</w:t>
            </w:r>
            <w:r w:rsidR="008C5CE2" w:rsidRPr="008C5CE2">
              <w:rPr>
                <w:rFonts w:ascii="Aptos" w:eastAsia="Times New Roman" w:hAnsi="Aptos" w:cs="Times New Roman"/>
                <w:color w:val="000000"/>
                <w:kern w:val="0"/>
                <w14:ligatures w14:val="none"/>
              </w:rPr>
              <w:t xml:space="preserve"> integration, transparency, agility, and continuous improvement to enhance adoption and reduce manual effort.</w:t>
            </w:r>
          </w:p>
        </w:tc>
      </w:tr>
      <w:tr w:rsidR="008C5CE2" w:rsidRPr="008C5CE2" w14:paraId="704C665C" w14:textId="77777777" w:rsidTr="008C5CE2">
        <w:trPr>
          <w:trHeight w:val="1020"/>
        </w:trPr>
        <w:tc>
          <w:tcPr>
            <w:tcW w:w="2860" w:type="dxa"/>
            <w:tcBorders>
              <w:top w:val="nil"/>
              <w:left w:val="single" w:sz="4" w:space="0" w:color="auto"/>
              <w:bottom w:val="single" w:sz="4" w:space="0" w:color="auto"/>
              <w:right w:val="single" w:sz="4" w:space="0" w:color="auto"/>
            </w:tcBorders>
            <w:hideMark/>
          </w:tcPr>
          <w:p w14:paraId="7DE67766" w14:textId="77777777" w:rsidR="008C5CE2" w:rsidRPr="008C5CE2" w:rsidRDefault="008C5CE2" w:rsidP="008C5CE2">
            <w:pPr>
              <w:spacing w:after="0" w:line="240" w:lineRule="auto"/>
              <w:rPr>
                <w:rFonts w:ascii="Aptos" w:eastAsia="Times New Roman" w:hAnsi="Aptos" w:cs="Times New Roman"/>
                <w:color w:val="000000"/>
                <w:kern w:val="0"/>
                <w14:ligatures w14:val="none"/>
              </w:rPr>
            </w:pPr>
            <w:r w:rsidRPr="008C5CE2">
              <w:rPr>
                <w:rFonts w:ascii="Aptos" w:eastAsia="Times New Roman" w:hAnsi="Aptos" w:cs="Times New Roman"/>
                <w:color w:val="000000"/>
                <w:kern w:val="0"/>
                <w14:ligatures w14:val="none"/>
              </w:rPr>
              <w:t>Change Management Approach</w:t>
            </w:r>
          </w:p>
        </w:tc>
        <w:tc>
          <w:tcPr>
            <w:tcW w:w="6320" w:type="dxa"/>
            <w:tcBorders>
              <w:top w:val="nil"/>
              <w:left w:val="nil"/>
              <w:bottom w:val="single" w:sz="4" w:space="0" w:color="auto"/>
              <w:right w:val="single" w:sz="4" w:space="0" w:color="auto"/>
            </w:tcBorders>
            <w:hideMark/>
          </w:tcPr>
          <w:p w14:paraId="0D7F8635" w14:textId="0C1ECC0C" w:rsidR="008C5CE2" w:rsidRPr="008C5CE2" w:rsidRDefault="003E0D3E" w:rsidP="008C5CE2">
            <w:pPr>
              <w:spacing w:after="0" w:line="240" w:lineRule="auto"/>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Define e</w:t>
            </w:r>
            <w:r w:rsidR="008C5CE2" w:rsidRPr="008C5CE2">
              <w:rPr>
                <w:rFonts w:ascii="Aptos" w:eastAsia="Times New Roman" w:hAnsi="Aptos" w:cs="Times New Roman"/>
                <w:color w:val="000000"/>
                <w:kern w:val="0"/>
                <w14:ligatures w14:val="none"/>
              </w:rPr>
              <w:t>mbed change management practices explicitly to support adoption, mitigate resistance, and sustain process improvements.</w:t>
            </w:r>
          </w:p>
        </w:tc>
      </w:tr>
    </w:tbl>
    <w:p w14:paraId="729CEC4C" w14:textId="77777777" w:rsidR="00DB37B7" w:rsidRDefault="00DB37B7" w:rsidP="00DB37B7"/>
    <w:sectPr w:rsidR="00DB37B7" w:rsidSect="007B5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7CF4"/>
    <w:multiLevelType w:val="hybridMultilevel"/>
    <w:tmpl w:val="EBC80628"/>
    <w:lvl w:ilvl="0" w:tplc="B262C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14756"/>
    <w:multiLevelType w:val="hybridMultilevel"/>
    <w:tmpl w:val="D66474E6"/>
    <w:lvl w:ilvl="0" w:tplc="B262C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25649"/>
    <w:multiLevelType w:val="hybridMultilevel"/>
    <w:tmpl w:val="D4A43FFC"/>
    <w:lvl w:ilvl="0" w:tplc="B262C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37E0F"/>
    <w:multiLevelType w:val="hybridMultilevel"/>
    <w:tmpl w:val="B4D294D2"/>
    <w:lvl w:ilvl="0" w:tplc="B262C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01F78"/>
    <w:multiLevelType w:val="hybridMultilevel"/>
    <w:tmpl w:val="E07C9772"/>
    <w:lvl w:ilvl="0" w:tplc="B262C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9746A"/>
    <w:multiLevelType w:val="hybridMultilevel"/>
    <w:tmpl w:val="D2F0F770"/>
    <w:lvl w:ilvl="0" w:tplc="B262C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8746F"/>
    <w:multiLevelType w:val="hybridMultilevel"/>
    <w:tmpl w:val="529C9944"/>
    <w:lvl w:ilvl="0" w:tplc="B262C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04E49"/>
    <w:multiLevelType w:val="hybridMultilevel"/>
    <w:tmpl w:val="32CABFC0"/>
    <w:lvl w:ilvl="0" w:tplc="B262C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B003D"/>
    <w:multiLevelType w:val="hybridMultilevel"/>
    <w:tmpl w:val="63623C38"/>
    <w:lvl w:ilvl="0" w:tplc="B262C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27372"/>
    <w:multiLevelType w:val="hybridMultilevel"/>
    <w:tmpl w:val="44BAFC34"/>
    <w:lvl w:ilvl="0" w:tplc="B262C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A740F"/>
    <w:multiLevelType w:val="hybridMultilevel"/>
    <w:tmpl w:val="5360EA9E"/>
    <w:lvl w:ilvl="0" w:tplc="B262C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3B7FB7"/>
    <w:multiLevelType w:val="hybridMultilevel"/>
    <w:tmpl w:val="E05E0CAC"/>
    <w:lvl w:ilvl="0" w:tplc="B262C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6342D"/>
    <w:multiLevelType w:val="hybridMultilevel"/>
    <w:tmpl w:val="D032A598"/>
    <w:lvl w:ilvl="0" w:tplc="B262CE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911760">
    <w:abstractNumId w:val="1"/>
  </w:num>
  <w:num w:numId="2" w16cid:durableId="1188837273">
    <w:abstractNumId w:val="5"/>
  </w:num>
  <w:num w:numId="3" w16cid:durableId="1292783678">
    <w:abstractNumId w:val="6"/>
  </w:num>
  <w:num w:numId="4" w16cid:durableId="132409994">
    <w:abstractNumId w:val="3"/>
  </w:num>
  <w:num w:numId="5" w16cid:durableId="1465345368">
    <w:abstractNumId w:val="7"/>
  </w:num>
  <w:num w:numId="6" w16cid:durableId="1607346065">
    <w:abstractNumId w:val="2"/>
  </w:num>
  <w:num w:numId="7" w16cid:durableId="1878543016">
    <w:abstractNumId w:val="10"/>
  </w:num>
  <w:num w:numId="8" w16cid:durableId="1981380719">
    <w:abstractNumId w:val="12"/>
  </w:num>
  <w:num w:numId="9" w16cid:durableId="213319959">
    <w:abstractNumId w:val="11"/>
  </w:num>
  <w:num w:numId="10" w16cid:durableId="245649332">
    <w:abstractNumId w:val="0"/>
  </w:num>
  <w:num w:numId="11" w16cid:durableId="511918030">
    <w:abstractNumId w:val="4"/>
  </w:num>
  <w:num w:numId="12" w16cid:durableId="889456098">
    <w:abstractNumId w:val="9"/>
  </w:num>
  <w:num w:numId="13" w16cid:durableId="986204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8A"/>
    <w:rsid w:val="00051F01"/>
    <w:rsid w:val="000C3214"/>
    <w:rsid w:val="000C481A"/>
    <w:rsid w:val="000C4E86"/>
    <w:rsid w:val="00141630"/>
    <w:rsid w:val="00161919"/>
    <w:rsid w:val="001A562C"/>
    <w:rsid w:val="001E490C"/>
    <w:rsid w:val="001F6534"/>
    <w:rsid w:val="0023248A"/>
    <w:rsid w:val="002716DC"/>
    <w:rsid w:val="00273BD0"/>
    <w:rsid w:val="002B417C"/>
    <w:rsid w:val="002C0947"/>
    <w:rsid w:val="002F040F"/>
    <w:rsid w:val="002F49BA"/>
    <w:rsid w:val="003523AD"/>
    <w:rsid w:val="00392E5B"/>
    <w:rsid w:val="003C475A"/>
    <w:rsid w:val="003D578D"/>
    <w:rsid w:val="003E0D3E"/>
    <w:rsid w:val="003F1389"/>
    <w:rsid w:val="00434E3B"/>
    <w:rsid w:val="00480986"/>
    <w:rsid w:val="00493E17"/>
    <w:rsid w:val="004A4671"/>
    <w:rsid w:val="004D7315"/>
    <w:rsid w:val="004E6D68"/>
    <w:rsid w:val="004F4B35"/>
    <w:rsid w:val="00506F90"/>
    <w:rsid w:val="00551722"/>
    <w:rsid w:val="00592144"/>
    <w:rsid w:val="005F444C"/>
    <w:rsid w:val="00711C8F"/>
    <w:rsid w:val="007202EF"/>
    <w:rsid w:val="007256C2"/>
    <w:rsid w:val="00733705"/>
    <w:rsid w:val="00762ADF"/>
    <w:rsid w:val="007B17A9"/>
    <w:rsid w:val="007B5851"/>
    <w:rsid w:val="00801DFC"/>
    <w:rsid w:val="008B7DAB"/>
    <w:rsid w:val="008C5CE2"/>
    <w:rsid w:val="009943DA"/>
    <w:rsid w:val="009A0A87"/>
    <w:rsid w:val="009E3DFA"/>
    <w:rsid w:val="009E5AC0"/>
    <w:rsid w:val="009E5C12"/>
    <w:rsid w:val="009F09DE"/>
    <w:rsid w:val="00A1463C"/>
    <w:rsid w:val="00A20921"/>
    <w:rsid w:val="00A33D5B"/>
    <w:rsid w:val="00AB105C"/>
    <w:rsid w:val="00C068F1"/>
    <w:rsid w:val="00C22BA1"/>
    <w:rsid w:val="00C36648"/>
    <w:rsid w:val="00C50BE7"/>
    <w:rsid w:val="00C5246F"/>
    <w:rsid w:val="00C74078"/>
    <w:rsid w:val="00D42244"/>
    <w:rsid w:val="00D44C5A"/>
    <w:rsid w:val="00D52F13"/>
    <w:rsid w:val="00D633F5"/>
    <w:rsid w:val="00D90BDB"/>
    <w:rsid w:val="00DA0C14"/>
    <w:rsid w:val="00DB37B7"/>
    <w:rsid w:val="00DE2FF5"/>
    <w:rsid w:val="00DF7623"/>
    <w:rsid w:val="00E078EE"/>
    <w:rsid w:val="00E236C9"/>
    <w:rsid w:val="00E305CA"/>
    <w:rsid w:val="00E31579"/>
    <w:rsid w:val="00E534F0"/>
    <w:rsid w:val="00E54708"/>
    <w:rsid w:val="00E972E3"/>
    <w:rsid w:val="00EC79C6"/>
    <w:rsid w:val="00F4112A"/>
    <w:rsid w:val="00FA2C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42EF375"/>
  <w15:chartTrackingRefBased/>
  <w15:docId w15:val="{DC69270C-4DCF-4753-9296-09F6E243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48A"/>
    <w:rPr>
      <w:rFonts w:eastAsiaTheme="majorEastAsia" w:cstheme="majorBidi"/>
      <w:color w:val="272727" w:themeColor="text1" w:themeTint="D8"/>
    </w:rPr>
  </w:style>
  <w:style w:type="paragraph" w:styleId="Title">
    <w:name w:val="Title"/>
    <w:basedOn w:val="Normal"/>
    <w:next w:val="Normal"/>
    <w:link w:val="TitleChar"/>
    <w:uiPriority w:val="10"/>
    <w:qFormat/>
    <w:rsid w:val="00232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48A"/>
    <w:pPr>
      <w:spacing w:before="160"/>
      <w:jc w:val="center"/>
    </w:pPr>
    <w:rPr>
      <w:i/>
      <w:iCs/>
      <w:color w:val="404040" w:themeColor="text1" w:themeTint="BF"/>
    </w:rPr>
  </w:style>
  <w:style w:type="character" w:customStyle="1" w:styleId="QuoteChar">
    <w:name w:val="Quote Char"/>
    <w:basedOn w:val="DefaultParagraphFont"/>
    <w:link w:val="Quote"/>
    <w:uiPriority w:val="29"/>
    <w:rsid w:val="0023248A"/>
    <w:rPr>
      <w:i/>
      <w:iCs/>
      <w:color w:val="404040" w:themeColor="text1" w:themeTint="BF"/>
    </w:rPr>
  </w:style>
  <w:style w:type="paragraph" w:styleId="ListParagraph">
    <w:name w:val="List Paragraph"/>
    <w:basedOn w:val="Normal"/>
    <w:uiPriority w:val="34"/>
    <w:qFormat/>
    <w:rsid w:val="0023248A"/>
    <w:pPr>
      <w:ind w:left="720"/>
      <w:contextualSpacing/>
    </w:pPr>
  </w:style>
  <w:style w:type="character" w:styleId="IntenseEmphasis">
    <w:name w:val="Intense Emphasis"/>
    <w:basedOn w:val="DefaultParagraphFont"/>
    <w:uiPriority w:val="21"/>
    <w:qFormat/>
    <w:rsid w:val="0023248A"/>
    <w:rPr>
      <w:i/>
      <w:iCs/>
      <w:color w:val="0F4761" w:themeColor="accent1" w:themeShade="BF"/>
    </w:rPr>
  </w:style>
  <w:style w:type="paragraph" w:styleId="IntenseQuote">
    <w:name w:val="Intense Quote"/>
    <w:basedOn w:val="Normal"/>
    <w:next w:val="Normal"/>
    <w:link w:val="IntenseQuoteChar"/>
    <w:uiPriority w:val="30"/>
    <w:qFormat/>
    <w:rsid w:val="00232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48A"/>
    <w:rPr>
      <w:i/>
      <w:iCs/>
      <w:color w:val="0F4761" w:themeColor="accent1" w:themeShade="BF"/>
    </w:rPr>
  </w:style>
  <w:style w:type="character" w:styleId="IntenseReference">
    <w:name w:val="Intense Reference"/>
    <w:basedOn w:val="DefaultParagraphFont"/>
    <w:uiPriority w:val="32"/>
    <w:qFormat/>
    <w:rsid w:val="0023248A"/>
    <w:rPr>
      <w:b/>
      <w:bCs/>
      <w:smallCaps/>
      <w:color w:val="0F4761" w:themeColor="accent1" w:themeShade="BF"/>
      <w:spacing w:val="5"/>
    </w:rPr>
  </w:style>
  <w:style w:type="character" w:styleId="Hyperlink">
    <w:name w:val="Hyperlink"/>
    <w:basedOn w:val="DefaultParagraphFont"/>
    <w:uiPriority w:val="99"/>
    <w:unhideWhenUsed/>
    <w:rsid w:val="00A1463C"/>
    <w:rPr>
      <w:color w:val="467886" w:themeColor="hyperlink"/>
      <w:u w:val="single"/>
    </w:rPr>
  </w:style>
  <w:style w:type="character" w:styleId="UnresolvedMention">
    <w:name w:val="Unresolved Mention"/>
    <w:basedOn w:val="DefaultParagraphFont"/>
    <w:uiPriority w:val="99"/>
    <w:semiHidden/>
    <w:unhideWhenUsed/>
    <w:rsid w:val="00A14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ro.com/app/board/uXjVJVtvkTI=/?moveToWidget=3458764643206709822&amp;cot=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96513B-2239-4564-AA99-96E0D67BF516}">
  <ds:schemaRefs>
    <ds:schemaRef ds:uri="http://schemas.microsoft.com/sharepoint/v3/contenttype/forms"/>
  </ds:schemaRefs>
</ds:datastoreItem>
</file>

<file path=customXml/itemProps2.xml><?xml version="1.0" encoding="utf-8"?>
<ds:datastoreItem xmlns:ds="http://schemas.openxmlformats.org/officeDocument/2006/customXml" ds:itemID="{7D42EAF1-4650-4594-A6D1-5535769B9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ceb7d-57bc-460a-b2f3-c17de45f2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A79E9D-EC29-4681-8953-478B9A169476}">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01ce67d-13f2-447a-bb65-0989b89dfdb4}" enabled="0" method="" siteId="{101ce67d-13f2-447a-bb65-0989b89dfdb4}"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0</Pages>
  <Words>0</Words>
  <Characters>0</Characters>
  <Application>Microsoft Office Word</Application>
  <DocSecurity>4</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Stenger, Joe</dc:creator>
  <cp:keywords/>
  <dc:description/>
  <cp:lastModifiedBy>Herrmann, Christian</cp:lastModifiedBy>
  <cp:revision>3</cp:revision>
  <dcterms:created xsi:type="dcterms:W3CDTF">2025-10-06T10:47:00Z</dcterms:created>
  <dcterms:modified xsi:type="dcterms:W3CDTF">2025-10-08T20:22:00Z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y fmtid="{D5CDD505-2E9C-101B-9397-08002B2CF9AE}" pid="3" name="docLang">
    <vt:lpwstr>en</vt:lpwstr>
  </property>
</Properties>
</file>