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360E1" w14:textId="77777777" w:rsidR="0061506C" w:rsidRPr="00523E0F" w:rsidRDefault="00000000">
      <w:pPr>
        <w:spacing w:after="40"/>
        <w:jc w:val="center"/>
        <w:rPr>
          <w:rFonts w:asciiTheme="minorHAnsi" w:hAnsiTheme="minorHAnsi"/>
          <w:sz w:val="24"/>
          <w:szCs w:val="24"/>
        </w:rPr>
      </w:pPr>
      <w:r w:rsidRPr="00523E0F">
        <w:rPr>
          <w:rFonts w:asciiTheme="minorHAnsi" w:eastAsia="Arial" w:hAnsiTheme="minorHAnsi" w:cs="Arial"/>
          <w:b/>
          <w:bCs/>
          <w:color w:val="888888"/>
          <w:sz w:val="24"/>
          <w:szCs w:val="24"/>
        </w:rPr>
        <w:t>POLICY BRIEF</w:t>
      </w:r>
    </w:p>
    <w:p w14:paraId="03F88FDA" w14:textId="77777777" w:rsidR="0061506C" w:rsidRPr="00523E0F" w:rsidRDefault="00000000">
      <w:pPr>
        <w:spacing w:after="40"/>
        <w:jc w:val="center"/>
        <w:rPr>
          <w:rFonts w:asciiTheme="minorHAnsi" w:hAnsiTheme="minorHAnsi"/>
          <w:sz w:val="24"/>
          <w:szCs w:val="24"/>
        </w:rPr>
      </w:pPr>
      <w:r w:rsidRPr="00523E0F">
        <w:rPr>
          <w:rFonts w:asciiTheme="minorHAnsi" w:eastAsia="Arial" w:hAnsiTheme="minorHAnsi" w:cs="Arial"/>
          <w:b/>
          <w:bCs/>
          <w:color w:val="1A3C6E"/>
          <w:sz w:val="24"/>
          <w:szCs w:val="24"/>
        </w:rPr>
        <w:t>The Cyber Security and Resilience Bill:</w:t>
      </w:r>
    </w:p>
    <w:p w14:paraId="71B35843" w14:textId="77777777" w:rsidR="0061506C" w:rsidRPr="00523E0F" w:rsidRDefault="00000000">
      <w:pPr>
        <w:spacing w:after="40"/>
        <w:jc w:val="center"/>
        <w:rPr>
          <w:rFonts w:asciiTheme="minorHAnsi" w:hAnsiTheme="minorHAnsi"/>
          <w:sz w:val="24"/>
          <w:szCs w:val="24"/>
        </w:rPr>
      </w:pPr>
      <w:r w:rsidRPr="00523E0F">
        <w:rPr>
          <w:rFonts w:asciiTheme="minorHAnsi" w:eastAsia="Arial" w:hAnsiTheme="minorHAnsi" w:cs="Arial"/>
          <w:b/>
          <w:bCs/>
          <w:color w:val="1A3C6E"/>
          <w:sz w:val="24"/>
          <w:szCs w:val="24"/>
        </w:rPr>
        <w:t>Five Gaps Exposed by the 2025 UK Retail Cyber Attacks</w:t>
      </w:r>
    </w:p>
    <w:p w14:paraId="084DF9C7" w14:textId="77777777" w:rsidR="0061506C" w:rsidRPr="00523E0F" w:rsidRDefault="00000000">
      <w:pPr>
        <w:pBdr>
          <w:bottom w:val="single" w:sz="4" w:space="6" w:color="1A3C6E"/>
        </w:pBdr>
        <w:spacing w:after="40"/>
        <w:jc w:val="center"/>
        <w:rPr>
          <w:rFonts w:asciiTheme="minorHAnsi" w:hAnsiTheme="minorHAnsi"/>
          <w:sz w:val="24"/>
          <w:szCs w:val="24"/>
        </w:rPr>
      </w:pPr>
      <w:r w:rsidRPr="00523E0F">
        <w:rPr>
          <w:rFonts w:asciiTheme="minorHAnsi" w:eastAsia="Arial" w:hAnsiTheme="minorHAnsi" w:cs="Arial"/>
          <w:color w:val="555555"/>
          <w:sz w:val="24"/>
          <w:szCs w:val="24"/>
        </w:rPr>
        <w:t>Prepared for the APPG on Cyber Security and Business Resilience</w:t>
      </w:r>
      <w:r w:rsidRPr="00523E0F">
        <w:rPr>
          <w:rFonts w:asciiTheme="minorHAnsi" w:eastAsia="Arial" w:hAnsiTheme="minorHAnsi" w:cs="Arial"/>
          <w:color w:val="CCCCCC"/>
          <w:sz w:val="24"/>
          <w:szCs w:val="24"/>
        </w:rPr>
        <w:t xml:space="preserve">  |  </w:t>
      </w:r>
      <w:r w:rsidRPr="00523E0F">
        <w:rPr>
          <w:rFonts w:asciiTheme="minorHAnsi" w:eastAsia="Arial" w:hAnsiTheme="minorHAnsi" w:cs="Arial"/>
          <w:color w:val="555555"/>
          <w:sz w:val="24"/>
          <w:szCs w:val="24"/>
        </w:rPr>
        <w:t>March 2026</w:t>
      </w:r>
    </w:p>
    <w:p w14:paraId="32740F4D" w14:textId="74F4EB62" w:rsidR="0061506C" w:rsidRPr="00523E0F" w:rsidRDefault="00000000">
      <w:pPr>
        <w:spacing w:before="160" w:after="40"/>
        <w:rPr>
          <w:rFonts w:asciiTheme="minorHAnsi" w:hAnsiTheme="minorHAnsi"/>
          <w:sz w:val="24"/>
          <w:szCs w:val="24"/>
        </w:rPr>
      </w:pPr>
      <w:r w:rsidRPr="00523E0F">
        <w:rPr>
          <w:rFonts w:asciiTheme="minorHAnsi" w:eastAsia="Arial" w:hAnsiTheme="minorHAnsi" w:cs="Arial"/>
          <w:b/>
          <w:bCs/>
          <w:color w:val="555555"/>
          <w:sz w:val="24"/>
          <w:szCs w:val="24"/>
        </w:rPr>
        <w:t xml:space="preserve">Submitted by: </w:t>
      </w:r>
      <w:r w:rsidRPr="00523E0F">
        <w:rPr>
          <w:rFonts w:asciiTheme="minorHAnsi" w:eastAsia="Arial" w:hAnsiTheme="minorHAnsi" w:cs="Arial"/>
          <w:color w:val="555555"/>
          <w:sz w:val="24"/>
          <w:szCs w:val="24"/>
        </w:rPr>
        <w:t xml:space="preserve">Digital Twins Solutions </w:t>
      </w:r>
      <w:r w:rsidR="00523E0F" w:rsidRPr="00523E0F">
        <w:rPr>
          <w:rFonts w:asciiTheme="minorHAnsi" w:eastAsia="Arial" w:hAnsiTheme="minorHAnsi" w:cs="Arial"/>
          <w:color w:val="555555"/>
          <w:sz w:val="24"/>
          <w:szCs w:val="24"/>
        </w:rPr>
        <w:t xml:space="preserve">- </w:t>
      </w:r>
      <w:r w:rsidRPr="00523E0F">
        <w:rPr>
          <w:rFonts w:asciiTheme="minorHAnsi" w:eastAsia="Arial" w:hAnsiTheme="minorHAnsi" w:cs="Arial"/>
          <w:color w:val="555555"/>
          <w:sz w:val="24"/>
          <w:szCs w:val="24"/>
        </w:rPr>
        <w:t xml:space="preserve">developers of Netsapien™ PILOT, a patent-pending cyber threat detection platform using causal validation for critical national infrastructure, </w:t>
      </w:r>
      <w:commentRangeStart w:id="0"/>
      <w:r w:rsidR="000A76AD">
        <w:rPr>
          <w:rFonts w:asciiTheme="minorHAnsi" w:eastAsia="Arial" w:hAnsiTheme="minorHAnsi" w:cs="Arial"/>
          <w:color w:val="555555"/>
          <w:sz w:val="24"/>
          <w:szCs w:val="24"/>
        </w:rPr>
        <w:t>[</w:t>
      </w:r>
      <w:r w:rsidRPr="00523E0F">
        <w:rPr>
          <w:rFonts w:asciiTheme="minorHAnsi" w:eastAsia="Arial" w:hAnsiTheme="minorHAnsi" w:cs="Arial"/>
          <w:color w:val="555555"/>
          <w:sz w:val="24"/>
          <w:szCs w:val="24"/>
        </w:rPr>
        <w:t>built on NVIDIA platforms</w:t>
      </w:r>
      <w:r w:rsidR="000A76AD">
        <w:rPr>
          <w:rFonts w:asciiTheme="minorHAnsi" w:eastAsia="Arial" w:hAnsiTheme="minorHAnsi" w:cs="Arial"/>
          <w:color w:val="555555"/>
          <w:sz w:val="24"/>
          <w:szCs w:val="24"/>
        </w:rPr>
        <w:t>]</w:t>
      </w:r>
      <w:r w:rsidRPr="00523E0F">
        <w:rPr>
          <w:rFonts w:asciiTheme="minorHAnsi" w:eastAsia="Arial" w:hAnsiTheme="minorHAnsi" w:cs="Arial"/>
          <w:color w:val="555555"/>
          <w:sz w:val="24"/>
          <w:szCs w:val="24"/>
        </w:rPr>
        <w:t>.</w:t>
      </w:r>
      <w:commentRangeEnd w:id="0"/>
      <w:r w:rsidR="000A76AD" w:rsidRPr="00523E0F">
        <w:rPr>
          <w:rStyle w:val="CommentReference"/>
          <w:rFonts w:asciiTheme="minorHAnsi" w:hAnsiTheme="minorHAnsi"/>
          <w:sz w:val="24"/>
          <w:szCs w:val="24"/>
        </w:rPr>
        <w:commentReference w:id="0"/>
      </w:r>
    </w:p>
    <w:p w14:paraId="297BC5CE" w14:textId="77777777" w:rsidR="0061506C" w:rsidRPr="00523E0F" w:rsidRDefault="00000000">
      <w:pPr>
        <w:pStyle w:val="Heading1"/>
        <w:rPr>
          <w:rFonts w:asciiTheme="minorHAnsi" w:hAnsiTheme="minorHAnsi"/>
        </w:rPr>
      </w:pPr>
      <w:r w:rsidRPr="00523E0F">
        <w:rPr>
          <w:rFonts w:asciiTheme="minorHAnsi" w:hAnsiTheme="minorHAnsi"/>
        </w:rPr>
        <w:t>Context</w:t>
      </w:r>
    </w:p>
    <w:p w14:paraId="0C603898" w14:textId="291415AD" w:rsidR="0061506C" w:rsidRPr="00523E0F" w:rsidRDefault="00000000">
      <w:pPr>
        <w:spacing w:after="80"/>
        <w:rPr>
          <w:rFonts w:asciiTheme="minorHAnsi" w:hAnsiTheme="minorHAnsi"/>
          <w:sz w:val="24"/>
          <w:szCs w:val="24"/>
        </w:rPr>
      </w:pPr>
      <w:r w:rsidRPr="00523E0F">
        <w:rPr>
          <w:rFonts w:asciiTheme="minorHAnsi" w:hAnsiTheme="minorHAnsi"/>
          <w:sz w:val="24"/>
          <w:szCs w:val="24"/>
        </w:rPr>
        <w:t>In April 2025, coordinated cyber attacks on M&amp;S, Co-op, and Harrods cost the UK retail sector an estimated £270</w:t>
      </w:r>
      <w:r w:rsidR="00523E0F">
        <w:rPr>
          <w:rFonts w:asciiTheme="minorHAnsi" w:hAnsiTheme="minorHAnsi"/>
          <w:sz w:val="24"/>
          <w:szCs w:val="24"/>
        </w:rPr>
        <w:t>-</w:t>
      </w:r>
      <w:r w:rsidRPr="00523E0F">
        <w:rPr>
          <w:rFonts w:asciiTheme="minorHAnsi" w:hAnsiTheme="minorHAnsi"/>
          <w:sz w:val="24"/>
          <w:szCs w:val="24"/>
        </w:rPr>
        <w:t>440 million (Cyber Monitoring Centre, Category 2 systemic event). M&amp;S alone lost £300m in operating profit and was offline for 46 days. Further supply chain attacks on Peter Green Chilled and Blue Yonder cascaded into Sainsbury’s, Tesco, Aldi, and Morrisons. In 2025</w:t>
      </w:r>
      <w:r w:rsidR="00523E0F">
        <w:rPr>
          <w:rFonts w:asciiTheme="minorHAnsi" w:hAnsiTheme="minorHAnsi"/>
          <w:sz w:val="24"/>
          <w:szCs w:val="24"/>
        </w:rPr>
        <w:t>-</w:t>
      </w:r>
      <w:r w:rsidRPr="00523E0F">
        <w:rPr>
          <w:rFonts w:asciiTheme="minorHAnsi" w:hAnsiTheme="minorHAnsi"/>
          <w:sz w:val="24"/>
          <w:szCs w:val="24"/>
        </w:rPr>
        <w:t>26, JLR suffered an attack requiring a £1.5bn government loan guarantee to prevent wider economic fallout.</w:t>
      </w:r>
    </w:p>
    <w:p w14:paraId="6267E101" w14:textId="77777777" w:rsidR="0061506C" w:rsidRPr="00523E0F" w:rsidRDefault="00000000">
      <w:pPr>
        <w:spacing w:after="120"/>
        <w:rPr>
          <w:rFonts w:asciiTheme="minorHAnsi" w:hAnsiTheme="minorHAnsi"/>
          <w:sz w:val="24"/>
          <w:szCs w:val="24"/>
        </w:rPr>
      </w:pPr>
      <w:r w:rsidRPr="00523E0F">
        <w:rPr>
          <w:rFonts w:asciiTheme="minorHAnsi" w:hAnsiTheme="minorHAnsi"/>
          <w:sz w:val="24"/>
          <w:szCs w:val="24"/>
        </w:rPr>
        <w:t>Every one of these attacks exploited the same structural weakness: attackers obtained legitimate credentials and then operated undetected because their activity appeared “normal” to every detection tool in the stack. The Bill addresses reporting and regulatory scope. It does not yet address this architectural detection gap.</w:t>
      </w:r>
    </w:p>
    <w:p w14:paraId="462FCFA2" w14:textId="77777777" w:rsidR="0061506C" w:rsidRPr="00523E0F" w:rsidRDefault="00000000">
      <w:pPr>
        <w:pStyle w:val="Heading1"/>
        <w:rPr>
          <w:rFonts w:asciiTheme="minorHAnsi" w:hAnsiTheme="minorHAnsi"/>
        </w:rPr>
      </w:pPr>
      <w:r w:rsidRPr="00523E0F">
        <w:rPr>
          <w:rFonts w:asciiTheme="minorHAnsi" w:hAnsiTheme="minorHAnsi"/>
        </w:rPr>
        <w:t>Recommendations</w:t>
      </w:r>
    </w:p>
    <w:p w14:paraId="333D65C0" w14:textId="77777777" w:rsidR="0061506C" w:rsidRPr="00523E0F" w:rsidRDefault="00000000">
      <w:pPr>
        <w:pStyle w:val="ListParagraph"/>
        <w:numPr>
          <w:ilvl w:val="0"/>
          <w:numId w:val="2"/>
        </w:numPr>
        <w:spacing w:after="30"/>
        <w:rPr>
          <w:rFonts w:asciiTheme="minorHAnsi" w:hAnsiTheme="minorHAnsi"/>
          <w:sz w:val="24"/>
          <w:szCs w:val="24"/>
        </w:rPr>
      </w:pPr>
      <w:r w:rsidRPr="00523E0F">
        <w:rPr>
          <w:rFonts w:asciiTheme="minorHAnsi" w:eastAsia="Arial" w:hAnsiTheme="minorHAnsi" w:cs="Arial"/>
          <w:b/>
          <w:bCs/>
          <w:color w:val="1A3C6E"/>
          <w:sz w:val="24"/>
          <w:szCs w:val="24"/>
        </w:rPr>
        <w:t>Require detection capability against novel threats, not just compliance with baseline controls.</w:t>
      </w:r>
    </w:p>
    <w:p w14:paraId="55753FCE" w14:textId="77777777" w:rsidR="0061506C" w:rsidRPr="00523E0F" w:rsidRDefault="00000000">
      <w:pPr>
        <w:spacing w:after="100"/>
        <w:ind w:left="360"/>
        <w:rPr>
          <w:rFonts w:asciiTheme="minorHAnsi" w:hAnsiTheme="minorHAnsi"/>
          <w:sz w:val="24"/>
          <w:szCs w:val="24"/>
        </w:rPr>
      </w:pPr>
      <w:r w:rsidRPr="00523E0F">
        <w:rPr>
          <w:rFonts w:asciiTheme="minorHAnsi" w:hAnsiTheme="minorHAnsi"/>
          <w:sz w:val="24"/>
          <w:szCs w:val="24"/>
        </w:rPr>
        <w:t>CrowdStrike’s 2026 data confirms 82% of attacks contain no malware and 75% use authorised credentials. The M&amp;S breach showed that compliance with existing frameworks (Cyber Essentials, NIS Regulations) does not prevent sophisticated attacks. The Bill should require regulated entities to demonstrate that their detection controls can identify threats that bypass signature and pattern-based detection, including living-off-the-land, zero-day, and credential-based attacks.</w:t>
      </w:r>
    </w:p>
    <w:p w14:paraId="0E1D9F80" w14:textId="77777777" w:rsidR="0061506C" w:rsidRPr="00523E0F" w:rsidRDefault="00000000">
      <w:pPr>
        <w:pStyle w:val="ListParagraph"/>
        <w:numPr>
          <w:ilvl w:val="0"/>
          <w:numId w:val="2"/>
        </w:numPr>
        <w:spacing w:after="30"/>
        <w:rPr>
          <w:rFonts w:asciiTheme="minorHAnsi" w:hAnsiTheme="minorHAnsi"/>
          <w:sz w:val="24"/>
          <w:szCs w:val="24"/>
        </w:rPr>
      </w:pPr>
      <w:r w:rsidRPr="00523E0F">
        <w:rPr>
          <w:rFonts w:asciiTheme="minorHAnsi" w:eastAsia="Arial" w:hAnsiTheme="minorHAnsi" w:cs="Arial"/>
          <w:b/>
          <w:bCs/>
          <w:color w:val="1A3C6E"/>
          <w:sz w:val="24"/>
          <w:szCs w:val="24"/>
        </w:rPr>
        <w:t>Address the security implications of agentic AI in critical infrastructure.</w:t>
      </w:r>
    </w:p>
    <w:p w14:paraId="217CA6ED" w14:textId="399351B1" w:rsidR="0061506C" w:rsidRPr="00523E0F" w:rsidRDefault="00000000">
      <w:pPr>
        <w:spacing w:after="100"/>
        <w:ind w:left="360"/>
        <w:rPr>
          <w:rFonts w:asciiTheme="minorHAnsi" w:hAnsiTheme="minorHAnsi"/>
          <w:sz w:val="24"/>
          <w:szCs w:val="24"/>
        </w:rPr>
      </w:pPr>
      <w:r w:rsidRPr="00523E0F">
        <w:rPr>
          <w:rFonts w:asciiTheme="minorHAnsi" w:hAnsiTheme="minorHAnsi"/>
          <w:sz w:val="24"/>
          <w:szCs w:val="24"/>
        </w:rPr>
        <w:t>The Bill was drafted before the current wave of autonomous AI agent deployment across regulated sectors. A compromised AI agent operates at machine speed, inside the perimeter, with legitimate credentials. It does not trigger traditional detection. The Bill should explicitly require independent verification of autonomous agent behaviour within regulated infrastructure</w:t>
      </w:r>
      <w:r w:rsidR="00523E0F">
        <w:rPr>
          <w:rFonts w:asciiTheme="minorHAnsi" w:hAnsiTheme="minorHAnsi"/>
          <w:sz w:val="24"/>
          <w:szCs w:val="24"/>
        </w:rPr>
        <w:t xml:space="preserve">, </w:t>
      </w:r>
      <w:r w:rsidRPr="00523E0F">
        <w:rPr>
          <w:rFonts w:asciiTheme="minorHAnsi" w:hAnsiTheme="minorHAnsi"/>
          <w:sz w:val="24"/>
          <w:szCs w:val="24"/>
        </w:rPr>
        <w:t>verification that does not rely on the agent’s own telemetry or reporting.</w:t>
      </w:r>
    </w:p>
    <w:p w14:paraId="461C9921" w14:textId="77777777" w:rsidR="0061506C" w:rsidRPr="00523E0F" w:rsidRDefault="00000000">
      <w:pPr>
        <w:pStyle w:val="ListParagraph"/>
        <w:numPr>
          <w:ilvl w:val="0"/>
          <w:numId w:val="2"/>
        </w:numPr>
        <w:spacing w:after="30"/>
        <w:rPr>
          <w:rFonts w:asciiTheme="minorHAnsi" w:hAnsiTheme="minorHAnsi"/>
          <w:sz w:val="24"/>
          <w:szCs w:val="24"/>
        </w:rPr>
      </w:pPr>
      <w:r w:rsidRPr="00523E0F">
        <w:rPr>
          <w:rFonts w:asciiTheme="minorHAnsi" w:eastAsia="Arial" w:hAnsiTheme="minorHAnsi" w:cs="Arial"/>
          <w:b/>
          <w:bCs/>
          <w:color w:val="1A3C6E"/>
          <w:sz w:val="24"/>
          <w:szCs w:val="24"/>
        </w:rPr>
        <w:t>Introduce a regulatory requirement for telemetry integrity.</w:t>
      </w:r>
    </w:p>
    <w:p w14:paraId="522B6852" w14:textId="62CC2012" w:rsidR="0061506C" w:rsidRDefault="00000000">
      <w:pPr>
        <w:spacing w:after="100"/>
        <w:ind w:left="360"/>
        <w:rPr>
          <w:rFonts w:asciiTheme="minorHAnsi" w:hAnsiTheme="minorHAnsi"/>
          <w:sz w:val="24"/>
          <w:szCs w:val="24"/>
        </w:rPr>
      </w:pPr>
      <w:r w:rsidRPr="00523E0F">
        <w:rPr>
          <w:rFonts w:asciiTheme="minorHAnsi" w:hAnsiTheme="minorHAnsi"/>
          <w:sz w:val="24"/>
          <w:szCs w:val="24"/>
        </w:rPr>
        <w:t>Every automated cyber defence depends on the integrity of the data it acts upon. If telemetry is falsified</w:t>
      </w:r>
      <w:r w:rsidR="00523E0F">
        <w:rPr>
          <w:rFonts w:asciiTheme="minorHAnsi" w:hAnsiTheme="minorHAnsi"/>
          <w:sz w:val="24"/>
          <w:szCs w:val="24"/>
        </w:rPr>
        <w:t xml:space="preserve">, </w:t>
      </w:r>
      <w:r w:rsidRPr="00523E0F">
        <w:rPr>
          <w:rFonts w:asciiTheme="minorHAnsi" w:hAnsiTheme="minorHAnsi"/>
          <w:sz w:val="24"/>
          <w:szCs w:val="24"/>
        </w:rPr>
        <w:t>as in the Stuxnet attack on Iran’s nuclear programme</w:t>
      </w:r>
      <w:r w:rsidR="00523E0F">
        <w:rPr>
          <w:rFonts w:asciiTheme="minorHAnsi" w:hAnsiTheme="minorHAnsi"/>
          <w:sz w:val="24"/>
          <w:szCs w:val="24"/>
        </w:rPr>
        <w:t xml:space="preserve">, </w:t>
      </w:r>
      <w:r w:rsidRPr="00523E0F">
        <w:rPr>
          <w:rFonts w:asciiTheme="minorHAnsi" w:hAnsiTheme="minorHAnsi"/>
          <w:sz w:val="24"/>
          <w:szCs w:val="24"/>
        </w:rPr>
        <w:t>then automated responses fail or act on false information at machine speed. As the UK moves toward AI-powered automated defence, the Bill should require regulated entities to demonstrate measures to validate the integrity of the telemetry their security tools rely on. This is zero-trust applied to the data layer itself.</w:t>
      </w:r>
    </w:p>
    <w:p w14:paraId="664DE9C1" w14:textId="493D5F3D" w:rsidR="0061506C" w:rsidRPr="000A76AD" w:rsidRDefault="00000000" w:rsidP="000A76AD">
      <w:pPr>
        <w:pStyle w:val="ListParagraph"/>
        <w:numPr>
          <w:ilvl w:val="0"/>
          <w:numId w:val="2"/>
        </w:numPr>
        <w:spacing w:after="30"/>
        <w:rPr>
          <w:rFonts w:asciiTheme="minorHAnsi" w:hAnsiTheme="minorHAnsi"/>
          <w:sz w:val="24"/>
          <w:szCs w:val="24"/>
        </w:rPr>
      </w:pPr>
      <w:r w:rsidRPr="000A76AD">
        <w:rPr>
          <w:rFonts w:asciiTheme="minorHAnsi" w:eastAsia="Arial" w:hAnsiTheme="minorHAnsi" w:cs="Arial"/>
          <w:b/>
          <w:bCs/>
          <w:color w:val="1A3C6E"/>
          <w:sz w:val="24"/>
          <w:szCs w:val="24"/>
        </w:rPr>
        <w:t>Make detection maturity measurable, not just self-reported.</w:t>
      </w:r>
    </w:p>
    <w:p w14:paraId="560D7464" w14:textId="00919E8A" w:rsidR="0061506C" w:rsidRPr="00523E0F" w:rsidRDefault="00000000">
      <w:pPr>
        <w:spacing w:after="100"/>
        <w:ind w:left="360"/>
        <w:rPr>
          <w:rFonts w:asciiTheme="minorHAnsi" w:hAnsiTheme="minorHAnsi"/>
          <w:sz w:val="24"/>
          <w:szCs w:val="24"/>
        </w:rPr>
      </w:pPr>
      <w:r w:rsidRPr="00523E0F">
        <w:rPr>
          <w:rFonts w:asciiTheme="minorHAnsi" w:hAnsiTheme="minorHAnsi"/>
          <w:sz w:val="24"/>
          <w:szCs w:val="24"/>
        </w:rPr>
        <w:t xml:space="preserve">The Parliamentary evidence session on M&amp;S and Co-op (July 2025) revealed that the difference between £300m damage and minimal disruption was detection speed: Co-op </w:t>
      </w:r>
      <w:r w:rsidRPr="00523E0F">
        <w:rPr>
          <w:rFonts w:asciiTheme="minorHAnsi" w:hAnsiTheme="minorHAnsi"/>
          <w:sz w:val="24"/>
          <w:szCs w:val="24"/>
        </w:rPr>
        <w:lastRenderedPageBreak/>
        <w:t xml:space="preserve">detected in minutes; M&amp;S took days. Industry data shows organisations with mature detection contain incidents in 5 days vs. a 42-day average. The Bill should require regulated entities to evidence detection maturity through measurable metrics </w:t>
      </w:r>
      <w:r w:rsidR="00523E0F">
        <w:rPr>
          <w:rFonts w:asciiTheme="minorHAnsi" w:hAnsiTheme="minorHAnsi"/>
          <w:sz w:val="24"/>
          <w:szCs w:val="24"/>
        </w:rPr>
        <w:t xml:space="preserve">i.e. </w:t>
      </w:r>
      <w:r w:rsidRPr="00523E0F">
        <w:rPr>
          <w:rFonts w:asciiTheme="minorHAnsi" w:hAnsiTheme="minorHAnsi"/>
          <w:sz w:val="24"/>
          <w:szCs w:val="24"/>
        </w:rPr>
        <w:t>time-to-detection, ability to identify novel threats, and false positive rates</w:t>
      </w:r>
      <w:r w:rsidR="00523E0F">
        <w:rPr>
          <w:rFonts w:asciiTheme="minorHAnsi" w:hAnsiTheme="minorHAnsi"/>
          <w:sz w:val="24"/>
          <w:szCs w:val="24"/>
        </w:rPr>
        <w:t xml:space="preserve">, </w:t>
      </w:r>
      <w:r w:rsidRPr="00523E0F">
        <w:rPr>
          <w:rFonts w:asciiTheme="minorHAnsi" w:hAnsiTheme="minorHAnsi"/>
          <w:sz w:val="24"/>
          <w:szCs w:val="24"/>
        </w:rPr>
        <w:t>not simply confirm that controls exist.</w:t>
      </w:r>
    </w:p>
    <w:p w14:paraId="5D371404" w14:textId="77777777" w:rsidR="0061506C" w:rsidRPr="00523E0F" w:rsidRDefault="00000000">
      <w:pPr>
        <w:pStyle w:val="ListParagraph"/>
        <w:numPr>
          <w:ilvl w:val="0"/>
          <w:numId w:val="2"/>
        </w:numPr>
        <w:spacing w:after="30"/>
        <w:rPr>
          <w:rFonts w:asciiTheme="minorHAnsi" w:hAnsiTheme="minorHAnsi"/>
          <w:sz w:val="24"/>
          <w:szCs w:val="24"/>
        </w:rPr>
      </w:pPr>
      <w:r w:rsidRPr="00523E0F">
        <w:rPr>
          <w:rFonts w:asciiTheme="minorHAnsi" w:eastAsia="Arial" w:hAnsiTheme="minorHAnsi" w:cs="Arial"/>
          <w:b/>
          <w:bCs/>
          <w:color w:val="1A3C6E"/>
          <w:sz w:val="24"/>
          <w:szCs w:val="24"/>
        </w:rPr>
        <w:t>Incentivise architectural diversity in detection, not monocultures.</w:t>
      </w:r>
    </w:p>
    <w:p w14:paraId="14AE1C6C" w14:textId="561FABBE" w:rsidR="00523E0F" w:rsidRDefault="00000000" w:rsidP="00523E0F">
      <w:pPr>
        <w:spacing w:after="100"/>
        <w:ind w:left="360"/>
        <w:rPr>
          <w:rFonts w:asciiTheme="minorHAnsi" w:hAnsiTheme="minorHAnsi"/>
          <w:sz w:val="24"/>
          <w:szCs w:val="24"/>
        </w:rPr>
      </w:pPr>
      <w:r w:rsidRPr="00523E0F">
        <w:rPr>
          <w:rFonts w:asciiTheme="minorHAnsi" w:hAnsiTheme="minorHAnsi"/>
          <w:sz w:val="24"/>
          <w:szCs w:val="24"/>
        </w:rPr>
        <w:t>The UK’s critical infrastructure currently depends on a small number of correlation-based detection platforms. These are valuable but share a common architectural limitation: they identify suspicious patterns within normal activity but cannot validate whether observed system states are physically possible or digitally permissible. A resilient ecosystem requires complementary approaches. Independent EU-funded research (Q4 2025) demonstrated that deterministic causal validation achieves 74% fewer false positives and 83% stealth threat detection rates compared to correlation-based systems alone. The Bill should actively encourage the adoption of diverse, complementary detection architectures for CNI</w:t>
      </w:r>
    </w:p>
    <w:p w14:paraId="487E12CE" w14:textId="539ECED8" w:rsidR="000A76AD" w:rsidRDefault="000A76AD" w:rsidP="000A76AD">
      <w:pPr>
        <w:pStyle w:val="ListParagraph"/>
        <w:numPr>
          <w:ilvl w:val="0"/>
          <w:numId w:val="2"/>
        </w:numPr>
        <w:spacing w:after="30"/>
      </w:pPr>
      <w:r w:rsidRPr="000A76AD">
        <w:rPr>
          <w:rFonts w:ascii="Arial" w:eastAsia="Arial" w:hAnsi="Arial" w:cs="Arial"/>
          <w:b/>
          <w:bCs/>
          <w:color w:val="1A3C6E"/>
        </w:rPr>
        <w:t>Align the Bill with the cyber insurance market to create a resilience feedback loop.</w:t>
      </w:r>
    </w:p>
    <w:p w14:paraId="64E86011" w14:textId="77777777" w:rsidR="000A76AD" w:rsidRDefault="000A76AD" w:rsidP="000A76AD">
      <w:pPr>
        <w:spacing w:after="100"/>
        <w:ind w:left="360"/>
        <w:rPr>
          <w:rFonts w:asciiTheme="minorHAnsi" w:hAnsiTheme="minorHAnsi"/>
          <w:sz w:val="24"/>
          <w:szCs w:val="24"/>
        </w:rPr>
      </w:pPr>
      <w:r w:rsidRPr="000A76AD">
        <w:rPr>
          <w:rFonts w:asciiTheme="minorHAnsi" w:hAnsiTheme="minorHAnsi"/>
          <w:sz w:val="24"/>
          <w:szCs w:val="24"/>
        </w:rPr>
        <w:t>Baroness Lloyd stated at the BIBA conference in January 2026 that “</w:t>
      </w:r>
      <w:r w:rsidRPr="000A76AD">
        <w:rPr>
          <w:rFonts w:asciiTheme="minorHAnsi" w:hAnsiTheme="minorHAnsi"/>
          <w:i/>
          <w:iCs/>
          <w:sz w:val="24"/>
          <w:szCs w:val="24"/>
        </w:rPr>
        <w:t>cyber insurance is an important part of the toolbox organisations can use to manage their cyber risks</w:t>
      </w:r>
      <w:r w:rsidRPr="000A76AD">
        <w:rPr>
          <w:rFonts w:asciiTheme="minorHAnsi" w:hAnsiTheme="minorHAnsi"/>
          <w:sz w:val="24"/>
          <w:szCs w:val="24"/>
        </w:rPr>
        <w:t>.” The Bill’s expansion of scope to data centres, managed service providers, and critical suppliers will create significant new insurable exposure. The Cyber Monitoring Centre’s classification of the M&amp;S/Co-op attacks as a Category 2 systemic event</w:t>
      </w:r>
      <w:r>
        <w:rPr>
          <w:rFonts w:asciiTheme="minorHAnsi" w:hAnsiTheme="minorHAnsi"/>
          <w:sz w:val="24"/>
          <w:szCs w:val="24"/>
        </w:rPr>
        <w:t xml:space="preserve">, </w:t>
      </w:r>
      <w:r w:rsidRPr="000A76AD">
        <w:rPr>
          <w:rFonts w:asciiTheme="minorHAnsi" w:hAnsiTheme="minorHAnsi"/>
          <w:sz w:val="24"/>
          <w:szCs w:val="24"/>
        </w:rPr>
        <w:t xml:space="preserve">a single threat actor causing £270–440m across multiple organisations illustrates the correlated, systemic risk that reinsurers must now model. Insurers paid out £197m for cyber claims last year; organisations with Cyber Essentials </w:t>
      </w:r>
      <w:r>
        <w:rPr>
          <w:rFonts w:asciiTheme="minorHAnsi" w:hAnsiTheme="minorHAnsi"/>
          <w:sz w:val="24"/>
          <w:szCs w:val="24"/>
        </w:rPr>
        <w:t>(</w:t>
      </w:r>
      <w:hyperlink r:id="rId11" w:history="1">
        <w:r w:rsidRPr="001F3A2D">
          <w:rPr>
            <w:rStyle w:val="Hyperlink"/>
            <w:rFonts w:asciiTheme="minorHAnsi" w:hAnsiTheme="minorHAnsi"/>
            <w:sz w:val="24"/>
            <w:szCs w:val="24"/>
          </w:rPr>
          <w:t>https://www.ncsc.gov.uk/cyberessentials/overview</w:t>
        </w:r>
      </w:hyperlink>
      <w:r>
        <w:rPr>
          <w:rFonts w:asciiTheme="minorHAnsi" w:hAnsiTheme="minorHAnsi"/>
          <w:sz w:val="24"/>
          <w:szCs w:val="24"/>
        </w:rPr>
        <w:t xml:space="preserve">) </w:t>
      </w:r>
      <w:r w:rsidRPr="000A76AD">
        <w:rPr>
          <w:rFonts w:asciiTheme="minorHAnsi" w:hAnsiTheme="minorHAnsi"/>
          <w:sz w:val="24"/>
          <w:szCs w:val="24"/>
        </w:rPr>
        <w:t xml:space="preserve">were 92% less likely to claim. </w:t>
      </w:r>
    </w:p>
    <w:p w14:paraId="61710949" w14:textId="4623C278" w:rsidR="000A76AD" w:rsidRPr="000A76AD" w:rsidRDefault="000A76AD" w:rsidP="000A76AD">
      <w:pPr>
        <w:spacing w:after="100"/>
        <w:ind w:left="360"/>
        <w:rPr>
          <w:rFonts w:asciiTheme="minorHAnsi" w:hAnsiTheme="minorHAnsi"/>
          <w:sz w:val="24"/>
          <w:szCs w:val="24"/>
        </w:rPr>
      </w:pPr>
      <w:r w:rsidRPr="000A76AD">
        <w:rPr>
          <w:rFonts w:asciiTheme="minorHAnsi" w:hAnsiTheme="minorHAnsi"/>
          <w:sz w:val="24"/>
          <w:szCs w:val="24"/>
        </w:rPr>
        <w:t>The Bill should explicitly recognise the role of the insurance market in driving cyber resilience by: (a) ensuring that detection maturity metrics introduced under the Bill are available to insurers as underwriting variables, enabling risk-based pricing that rewards genuine capability over checkbox compliance; (b) requiring regulated entities to consider cyber insurance as part of their resilience planning; and (c) commissioning further research into systemic accumulation risk in newly regulated sectors (data centres, MSPs) where a single point of compromise cascades across multiple policyholders simultaneously. The emerging deployment of agentic AI within regulated infrastructure creates an entirely new class of unmodelled exposure that neither insurers nor reinsurers can currently price. The Bill has an opportunity to get ahead of this by establishing the reporting and measurement frameworks that the insurance market needs to develop actuarially sound products.</w:t>
      </w:r>
    </w:p>
    <w:p w14:paraId="1DFFAE84" w14:textId="77777777" w:rsidR="00523E0F" w:rsidRDefault="00523E0F" w:rsidP="00523E0F">
      <w:pPr>
        <w:spacing w:after="100"/>
        <w:ind w:left="360"/>
        <w:rPr>
          <w:rFonts w:asciiTheme="minorHAnsi" w:hAnsiTheme="minorHAnsi"/>
          <w:sz w:val="24"/>
          <w:szCs w:val="24"/>
        </w:rPr>
      </w:pPr>
    </w:p>
    <w:p w14:paraId="354F39D5" w14:textId="5601C1B4" w:rsidR="00523E0F" w:rsidRPr="000A76AD" w:rsidRDefault="000A76AD" w:rsidP="00523E0F">
      <w:pPr>
        <w:spacing w:after="100"/>
        <w:ind w:left="360"/>
        <w:rPr>
          <w:rFonts w:asciiTheme="minorHAnsi" w:hAnsiTheme="minorHAnsi"/>
          <w:sz w:val="24"/>
          <w:szCs w:val="24"/>
        </w:rPr>
      </w:pPr>
      <w:r w:rsidRPr="000A76AD">
        <w:rPr>
          <w:rFonts w:asciiTheme="minorHAnsi" w:hAnsiTheme="minorHAnsi"/>
          <w:sz w:val="24"/>
          <w:szCs w:val="24"/>
        </w:rPr>
        <w:t>The 2025 retail attacks demonstrated that the UK’s most recognisable businesses can be brought to their knees by attackers who look “normal” to every detection system in place. The Cyber Security and Resilience Bill is a welcome and necessary step forward. These six recommendations would ensure it addresses the architectural, operational, and market gaps that the attacks exposed — before the next wave of AI-accelerated threats makes them wider</w:t>
      </w:r>
    </w:p>
    <w:p w14:paraId="7B1C9356" w14:textId="77777777" w:rsidR="00523E0F" w:rsidRDefault="00523E0F" w:rsidP="00523E0F">
      <w:pPr>
        <w:spacing w:after="100"/>
        <w:ind w:left="360"/>
        <w:rPr>
          <w:rFonts w:asciiTheme="minorHAnsi" w:hAnsiTheme="minorHAnsi"/>
          <w:sz w:val="24"/>
          <w:szCs w:val="24"/>
        </w:rPr>
      </w:pPr>
    </w:p>
    <w:p w14:paraId="4000160B" w14:textId="77777777" w:rsidR="000A76AD" w:rsidRDefault="000A76AD" w:rsidP="00523E0F">
      <w:pPr>
        <w:spacing w:after="100"/>
        <w:ind w:left="360"/>
        <w:rPr>
          <w:rFonts w:asciiTheme="minorHAnsi" w:hAnsiTheme="minorHAnsi"/>
          <w:sz w:val="24"/>
          <w:szCs w:val="24"/>
        </w:rPr>
      </w:pPr>
    </w:p>
    <w:p w14:paraId="4D80F01C" w14:textId="77777777" w:rsidR="000A76AD" w:rsidRDefault="000A76AD" w:rsidP="00523E0F">
      <w:pPr>
        <w:spacing w:after="100"/>
        <w:ind w:left="360"/>
        <w:rPr>
          <w:rFonts w:asciiTheme="minorHAnsi" w:hAnsiTheme="minorHAnsi"/>
          <w:sz w:val="24"/>
          <w:szCs w:val="24"/>
        </w:rPr>
      </w:pPr>
    </w:p>
    <w:p w14:paraId="115C68D2" w14:textId="77777777" w:rsidR="000A76AD" w:rsidRDefault="000A76AD" w:rsidP="00523E0F">
      <w:pPr>
        <w:spacing w:after="100"/>
        <w:ind w:left="360"/>
        <w:rPr>
          <w:rFonts w:asciiTheme="minorHAnsi" w:hAnsiTheme="minorHAnsi"/>
          <w:sz w:val="24"/>
          <w:szCs w:val="24"/>
        </w:rPr>
      </w:pPr>
    </w:p>
    <w:p w14:paraId="7ABF79F1" w14:textId="77777777" w:rsidR="000A76AD" w:rsidRDefault="000A76AD" w:rsidP="00523E0F">
      <w:pPr>
        <w:spacing w:after="100"/>
        <w:ind w:left="360"/>
        <w:rPr>
          <w:rFonts w:asciiTheme="minorHAnsi" w:hAnsiTheme="minorHAnsi"/>
          <w:sz w:val="24"/>
          <w:szCs w:val="24"/>
        </w:rPr>
      </w:pPr>
    </w:p>
    <w:p w14:paraId="484B1B42" w14:textId="77777777" w:rsidR="000A76AD" w:rsidRDefault="000A76AD" w:rsidP="00523E0F">
      <w:pPr>
        <w:spacing w:after="100"/>
        <w:ind w:left="360"/>
        <w:rPr>
          <w:rFonts w:asciiTheme="minorHAnsi" w:hAnsiTheme="minorHAnsi"/>
          <w:sz w:val="24"/>
          <w:szCs w:val="24"/>
        </w:rPr>
      </w:pPr>
    </w:p>
    <w:p w14:paraId="2F04CCD9" w14:textId="77777777" w:rsidR="000A76AD" w:rsidRDefault="000A76AD" w:rsidP="00523E0F">
      <w:pPr>
        <w:spacing w:after="100"/>
        <w:ind w:left="360"/>
        <w:rPr>
          <w:rFonts w:asciiTheme="minorHAnsi" w:hAnsiTheme="minorHAnsi"/>
          <w:sz w:val="24"/>
          <w:szCs w:val="24"/>
        </w:rPr>
      </w:pPr>
    </w:p>
    <w:p w14:paraId="5C94B115" w14:textId="77777777" w:rsidR="000A76AD" w:rsidRDefault="000A76AD" w:rsidP="00523E0F">
      <w:pPr>
        <w:spacing w:after="100"/>
        <w:ind w:left="360"/>
        <w:rPr>
          <w:rFonts w:asciiTheme="minorHAnsi" w:hAnsiTheme="minorHAnsi"/>
          <w:sz w:val="24"/>
          <w:szCs w:val="24"/>
        </w:rPr>
      </w:pPr>
    </w:p>
    <w:p w14:paraId="580EB3ED" w14:textId="77777777" w:rsidR="000A76AD" w:rsidRDefault="000A76AD" w:rsidP="00523E0F">
      <w:pPr>
        <w:spacing w:after="100"/>
        <w:ind w:left="360"/>
        <w:rPr>
          <w:rFonts w:asciiTheme="minorHAnsi" w:hAnsiTheme="minorHAnsi"/>
          <w:sz w:val="24"/>
          <w:szCs w:val="24"/>
        </w:rPr>
      </w:pPr>
    </w:p>
    <w:p w14:paraId="35C62B67" w14:textId="77777777" w:rsidR="000A76AD" w:rsidRDefault="000A76AD" w:rsidP="00523E0F">
      <w:pPr>
        <w:spacing w:after="100"/>
        <w:ind w:left="360"/>
        <w:rPr>
          <w:rFonts w:asciiTheme="minorHAnsi" w:hAnsiTheme="minorHAnsi"/>
          <w:sz w:val="24"/>
          <w:szCs w:val="24"/>
        </w:rPr>
      </w:pPr>
    </w:p>
    <w:p w14:paraId="3F95FFA9" w14:textId="77777777" w:rsidR="000A76AD" w:rsidRDefault="000A76AD" w:rsidP="00523E0F">
      <w:pPr>
        <w:spacing w:after="100"/>
        <w:ind w:left="360"/>
        <w:rPr>
          <w:rFonts w:asciiTheme="minorHAnsi" w:hAnsiTheme="minorHAnsi"/>
          <w:sz w:val="24"/>
          <w:szCs w:val="24"/>
        </w:rPr>
      </w:pPr>
    </w:p>
    <w:p w14:paraId="0F0BEF91" w14:textId="77777777" w:rsidR="000A76AD" w:rsidRDefault="000A76AD" w:rsidP="00523E0F">
      <w:pPr>
        <w:spacing w:after="100"/>
        <w:ind w:left="360"/>
        <w:rPr>
          <w:rFonts w:asciiTheme="minorHAnsi" w:hAnsiTheme="minorHAnsi"/>
          <w:sz w:val="24"/>
          <w:szCs w:val="24"/>
        </w:rPr>
      </w:pPr>
    </w:p>
    <w:p w14:paraId="02729596" w14:textId="77777777" w:rsidR="000A76AD" w:rsidRDefault="000A76AD" w:rsidP="00523E0F">
      <w:pPr>
        <w:spacing w:after="100"/>
        <w:ind w:left="360"/>
        <w:rPr>
          <w:rFonts w:asciiTheme="minorHAnsi" w:hAnsiTheme="minorHAnsi"/>
          <w:sz w:val="24"/>
          <w:szCs w:val="24"/>
        </w:rPr>
      </w:pPr>
    </w:p>
    <w:p w14:paraId="5FF8423F" w14:textId="77777777" w:rsidR="000A76AD" w:rsidRDefault="000A76AD" w:rsidP="00523E0F">
      <w:pPr>
        <w:spacing w:after="100"/>
        <w:ind w:left="360"/>
        <w:rPr>
          <w:rFonts w:asciiTheme="minorHAnsi" w:hAnsiTheme="minorHAnsi"/>
          <w:sz w:val="24"/>
          <w:szCs w:val="24"/>
        </w:rPr>
      </w:pPr>
    </w:p>
    <w:p w14:paraId="25E55D9B" w14:textId="77777777" w:rsidR="000A76AD" w:rsidRDefault="000A76AD" w:rsidP="00523E0F">
      <w:pPr>
        <w:spacing w:after="100"/>
        <w:ind w:left="360"/>
        <w:rPr>
          <w:rFonts w:asciiTheme="minorHAnsi" w:hAnsiTheme="minorHAnsi"/>
          <w:sz w:val="24"/>
          <w:szCs w:val="24"/>
        </w:rPr>
      </w:pPr>
    </w:p>
    <w:p w14:paraId="47FC797B" w14:textId="77777777" w:rsidR="000A76AD" w:rsidRDefault="000A76AD" w:rsidP="00523E0F">
      <w:pPr>
        <w:spacing w:after="100"/>
        <w:ind w:left="360"/>
        <w:rPr>
          <w:rFonts w:asciiTheme="minorHAnsi" w:hAnsiTheme="minorHAnsi"/>
          <w:sz w:val="24"/>
          <w:szCs w:val="24"/>
        </w:rPr>
      </w:pPr>
    </w:p>
    <w:p w14:paraId="4DE036C7" w14:textId="77777777" w:rsidR="000A76AD" w:rsidRDefault="000A76AD" w:rsidP="00523E0F">
      <w:pPr>
        <w:spacing w:after="100"/>
        <w:ind w:left="360"/>
        <w:rPr>
          <w:rFonts w:asciiTheme="minorHAnsi" w:hAnsiTheme="minorHAnsi"/>
          <w:sz w:val="24"/>
          <w:szCs w:val="24"/>
        </w:rPr>
      </w:pPr>
    </w:p>
    <w:p w14:paraId="4955A5BE" w14:textId="77777777" w:rsidR="000A76AD" w:rsidRDefault="000A76AD" w:rsidP="00523E0F">
      <w:pPr>
        <w:spacing w:after="100"/>
        <w:ind w:left="360"/>
        <w:rPr>
          <w:rFonts w:asciiTheme="minorHAnsi" w:hAnsiTheme="minorHAnsi"/>
          <w:sz w:val="24"/>
          <w:szCs w:val="24"/>
        </w:rPr>
      </w:pPr>
    </w:p>
    <w:p w14:paraId="0685FA49" w14:textId="77777777" w:rsidR="000A76AD" w:rsidRDefault="000A76AD" w:rsidP="00523E0F">
      <w:pPr>
        <w:spacing w:after="100"/>
        <w:ind w:left="360"/>
        <w:rPr>
          <w:rFonts w:asciiTheme="minorHAnsi" w:hAnsiTheme="minorHAnsi"/>
          <w:sz w:val="24"/>
          <w:szCs w:val="24"/>
        </w:rPr>
      </w:pPr>
    </w:p>
    <w:p w14:paraId="0664EACB" w14:textId="77777777" w:rsidR="000A76AD" w:rsidRDefault="000A76AD" w:rsidP="00523E0F">
      <w:pPr>
        <w:spacing w:after="100"/>
        <w:ind w:left="360"/>
        <w:rPr>
          <w:rFonts w:asciiTheme="minorHAnsi" w:hAnsiTheme="minorHAnsi"/>
          <w:sz w:val="24"/>
          <w:szCs w:val="24"/>
        </w:rPr>
      </w:pPr>
    </w:p>
    <w:p w14:paraId="7A40B16E" w14:textId="77777777" w:rsidR="000A76AD" w:rsidRDefault="000A76AD" w:rsidP="00523E0F">
      <w:pPr>
        <w:spacing w:after="100"/>
        <w:ind w:left="360"/>
        <w:rPr>
          <w:rFonts w:asciiTheme="minorHAnsi" w:hAnsiTheme="minorHAnsi"/>
          <w:sz w:val="24"/>
          <w:szCs w:val="24"/>
        </w:rPr>
      </w:pPr>
    </w:p>
    <w:p w14:paraId="237B2413" w14:textId="77777777" w:rsidR="000A76AD" w:rsidRDefault="000A76AD" w:rsidP="00523E0F">
      <w:pPr>
        <w:spacing w:after="100"/>
        <w:ind w:left="360"/>
        <w:rPr>
          <w:rFonts w:asciiTheme="minorHAnsi" w:hAnsiTheme="minorHAnsi"/>
          <w:sz w:val="24"/>
          <w:szCs w:val="24"/>
        </w:rPr>
      </w:pPr>
    </w:p>
    <w:p w14:paraId="36AA6BEA" w14:textId="0AF6D6BC" w:rsidR="0061506C" w:rsidRPr="00523E0F" w:rsidRDefault="0061506C">
      <w:pPr>
        <w:pBdr>
          <w:top w:val="single" w:sz="4" w:space="6" w:color="1A3C6E"/>
        </w:pBdr>
        <w:spacing w:before="80" w:after="60"/>
        <w:rPr>
          <w:rFonts w:asciiTheme="minorHAnsi" w:hAnsiTheme="minorHAnsi"/>
          <w:sz w:val="24"/>
          <w:szCs w:val="24"/>
        </w:rPr>
      </w:pPr>
    </w:p>
    <w:sectPr w:rsidR="0061506C" w:rsidRPr="00523E0F">
      <w:headerReference w:type="default" r:id="rId12"/>
      <w:footerReference w:type="default" r:id="rId13"/>
      <w:pgSz w:w="11906" w:h="16838"/>
      <w:pgMar w:top="1100" w:right="1100" w:bottom="900" w:left="11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reth Hughes" w:date="2026-03-17T09:41:00Z" w:initials="GH">
    <w:p w14:paraId="72F6FFBE" w14:textId="77777777" w:rsidR="000A76AD" w:rsidRDefault="000A76AD" w:rsidP="000A76AD">
      <w:r>
        <w:rPr>
          <w:rStyle w:val="CommentReference"/>
        </w:rPr>
        <w:annotationRef/>
      </w:r>
      <w:r>
        <w:rPr>
          <w:sz w:val="20"/>
          <w:szCs w:val="20"/>
        </w:rPr>
        <w:t>one for Andrew - what should we say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F6FF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89EE90" w16cex:dateUtc="2026-03-17T0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F6FFBE" w16cid:durableId="7989EE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AD59B" w14:textId="77777777" w:rsidR="00C5748A" w:rsidRDefault="00C5748A">
      <w:r>
        <w:separator/>
      </w:r>
    </w:p>
  </w:endnote>
  <w:endnote w:type="continuationSeparator" w:id="0">
    <w:p w14:paraId="1660E028" w14:textId="77777777" w:rsidR="00C5748A" w:rsidRDefault="00C574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7AEDF" w14:textId="77777777" w:rsidR="0061506C" w:rsidRDefault="00000000">
    <w:pPr>
      <w:pBdr>
        <w:top w:val="single" w:sz="1" w:space="4" w:color="CCCCCC"/>
      </w:pBdr>
      <w:spacing w:before="100"/>
      <w:jc w:val="center"/>
    </w:pPr>
    <w:r>
      <w:rPr>
        <w:rFonts w:ascii="Arial" w:eastAsia="Arial" w:hAnsi="Arial" w:cs="Arial"/>
        <w:color w:val="888888"/>
        <w:sz w:val="14"/>
        <w:szCs w:val="14"/>
      </w:rPr>
      <w:t>Digital Twins Solutions  |  digitaltwinssolutions.com  |  Contact: Brad Collier, brad@digitaltwinssolutions.com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88A4F" w14:textId="77777777" w:rsidR="00C5748A" w:rsidRDefault="00C5748A">
      <w:r>
        <w:separator/>
      </w:r>
    </w:p>
  </w:footnote>
  <w:footnote w:type="continuationSeparator" w:id="0">
    <w:p w14:paraId="0DA12A24" w14:textId="77777777" w:rsidR="00C5748A" w:rsidRDefault="00C574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64DB0" w14:textId="77777777" w:rsidR="0061506C" w:rsidRDefault="00000000">
    <w:pPr>
      <w:jc w:val="right"/>
    </w:pPr>
    <w:r>
      <w:rPr>
        <w:rFonts w:ascii="Arial" w:eastAsia="Arial" w:hAnsi="Arial" w:cs="Arial"/>
        <w:color w:val="888888"/>
        <w:sz w:val="16"/>
        <w:szCs w:val="16"/>
      </w:rPr>
      <w:t>Submitted to the APPG on Cyber Security and Business Resilience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103396"/>
    <w:multiLevelType w:val="hybridMultilevel"/>
    <w:tmpl w:val="A344E70E"/>
    <w:lvl w:ilvl="0" w:tplc="B3FA35A6">
      <w:start w:val="1"/>
      <w:numFmt w:val="bullet"/>
      <w:lvlText w:val="●"/>
      <w:lvlJc w:val="left"/>
      <w:pPr>
        <w:ind w:left="720" w:hanging="360"/>
      </w:pPr>
    </w:lvl>
    <w:lvl w:ilvl="1" w:tplc="7FF43A2C">
      <w:start w:val="1"/>
      <w:numFmt w:val="bullet"/>
      <w:lvlText w:val="○"/>
      <w:lvlJc w:val="left"/>
      <w:pPr>
        <w:ind w:left="1440" w:hanging="360"/>
      </w:pPr>
    </w:lvl>
    <w:lvl w:ilvl="2" w:tplc="2DC8D3F2">
      <w:start w:val="1"/>
      <w:numFmt w:val="bullet"/>
      <w:lvlText w:val="■"/>
      <w:lvlJc w:val="left"/>
      <w:pPr>
        <w:ind w:left="2160" w:hanging="360"/>
      </w:pPr>
    </w:lvl>
    <w:lvl w:ilvl="3" w:tplc="A74EC608">
      <w:start w:val="1"/>
      <w:numFmt w:val="bullet"/>
      <w:lvlText w:val="●"/>
      <w:lvlJc w:val="left"/>
      <w:pPr>
        <w:ind w:left="2880" w:hanging="360"/>
      </w:pPr>
    </w:lvl>
    <w:lvl w:ilvl="4" w:tplc="9DAC6EE4">
      <w:start w:val="1"/>
      <w:numFmt w:val="bullet"/>
      <w:lvlText w:val="○"/>
      <w:lvlJc w:val="left"/>
      <w:pPr>
        <w:ind w:left="3600" w:hanging="360"/>
      </w:pPr>
    </w:lvl>
    <w:lvl w:ilvl="5" w:tplc="A2FABD7A">
      <w:start w:val="1"/>
      <w:numFmt w:val="bullet"/>
      <w:lvlText w:val="■"/>
      <w:lvlJc w:val="left"/>
      <w:pPr>
        <w:ind w:left="4320" w:hanging="360"/>
      </w:pPr>
    </w:lvl>
    <w:lvl w:ilvl="6" w:tplc="A7B2F57A">
      <w:start w:val="1"/>
      <w:numFmt w:val="bullet"/>
      <w:lvlText w:val="●"/>
      <w:lvlJc w:val="left"/>
      <w:pPr>
        <w:ind w:left="5040" w:hanging="360"/>
      </w:pPr>
    </w:lvl>
    <w:lvl w:ilvl="7" w:tplc="CF06ADF8">
      <w:start w:val="1"/>
      <w:numFmt w:val="bullet"/>
      <w:lvlText w:val="●"/>
      <w:lvlJc w:val="left"/>
      <w:pPr>
        <w:ind w:left="5760" w:hanging="360"/>
      </w:pPr>
    </w:lvl>
    <w:lvl w:ilvl="8" w:tplc="816C761A">
      <w:start w:val="1"/>
      <w:numFmt w:val="bullet"/>
      <w:lvlText w:val="●"/>
      <w:lvlJc w:val="left"/>
      <w:pPr>
        <w:ind w:left="6480" w:hanging="360"/>
      </w:pPr>
    </w:lvl>
  </w:abstractNum>
  <w:abstractNum w:abstractNumId="1" w15:restartNumberingAfterBreak="0">
    <w:nsid w:val="6F2E1392"/>
    <w:multiLevelType w:val="hybridMultilevel"/>
    <w:tmpl w:val="0B0ABA8C"/>
    <w:lvl w:ilvl="0" w:tplc="143A662E">
      <w:start w:val="1"/>
      <w:numFmt w:val="decimal"/>
      <w:lvlText w:val="%1."/>
      <w:lvlJc w:val="left"/>
      <w:pPr>
        <w:ind w:left="360" w:hanging="360"/>
      </w:pPr>
      <w:rPr>
        <w:rFonts w:ascii="Arial" w:eastAsia="Arial" w:hAnsi="Arial" w:cs="Arial"/>
        <w:b/>
        <w:bCs/>
        <w:sz w:val="21"/>
        <w:szCs w:val="21"/>
      </w:rPr>
    </w:lvl>
    <w:lvl w:ilvl="1" w:tplc="60FAC8E4">
      <w:numFmt w:val="decimal"/>
      <w:lvlText w:val=""/>
      <w:lvlJc w:val="left"/>
    </w:lvl>
    <w:lvl w:ilvl="2" w:tplc="5C0C9EA2">
      <w:numFmt w:val="decimal"/>
      <w:lvlText w:val=""/>
      <w:lvlJc w:val="left"/>
    </w:lvl>
    <w:lvl w:ilvl="3" w:tplc="4F8068D4">
      <w:numFmt w:val="decimal"/>
      <w:lvlText w:val=""/>
      <w:lvlJc w:val="left"/>
    </w:lvl>
    <w:lvl w:ilvl="4" w:tplc="275C4244">
      <w:numFmt w:val="decimal"/>
      <w:lvlText w:val=""/>
      <w:lvlJc w:val="left"/>
    </w:lvl>
    <w:lvl w:ilvl="5" w:tplc="B3DEE6F8">
      <w:numFmt w:val="decimal"/>
      <w:lvlText w:val=""/>
      <w:lvlJc w:val="left"/>
    </w:lvl>
    <w:lvl w:ilvl="6" w:tplc="6562C1C2">
      <w:numFmt w:val="decimal"/>
      <w:lvlText w:val=""/>
      <w:lvlJc w:val="left"/>
    </w:lvl>
    <w:lvl w:ilvl="7" w:tplc="E1169556">
      <w:numFmt w:val="decimal"/>
      <w:lvlText w:val=""/>
      <w:lvlJc w:val="left"/>
    </w:lvl>
    <w:lvl w:ilvl="8" w:tplc="9D22AE06">
      <w:numFmt w:val="decimal"/>
      <w:lvlText w:val=""/>
      <w:lvlJc w:val="left"/>
    </w:lvl>
  </w:abstractNum>
  <w:abstractNum w:abstractNumId="2" w15:restartNumberingAfterBreak="0">
    <w:nsid w:val="7E513DCB"/>
    <w:multiLevelType w:val="hybridMultilevel"/>
    <w:tmpl w:val="A54A78BE"/>
    <w:lvl w:ilvl="0" w:tplc="B5588A9C">
      <w:start w:val="1"/>
      <w:numFmt w:val="bullet"/>
      <w:lvlText w:val="●"/>
      <w:lvlJc w:val="left"/>
      <w:pPr>
        <w:ind w:left="720" w:hanging="360"/>
      </w:pPr>
    </w:lvl>
    <w:lvl w:ilvl="1" w:tplc="2E48C4B0">
      <w:start w:val="1"/>
      <w:numFmt w:val="bullet"/>
      <w:lvlText w:val="○"/>
      <w:lvlJc w:val="left"/>
      <w:pPr>
        <w:ind w:left="1440" w:hanging="360"/>
      </w:pPr>
    </w:lvl>
    <w:lvl w:ilvl="2" w:tplc="0AB04142">
      <w:start w:val="1"/>
      <w:numFmt w:val="bullet"/>
      <w:lvlText w:val="■"/>
      <w:lvlJc w:val="left"/>
      <w:pPr>
        <w:ind w:left="2160" w:hanging="360"/>
      </w:pPr>
    </w:lvl>
    <w:lvl w:ilvl="3" w:tplc="F400359C">
      <w:start w:val="1"/>
      <w:numFmt w:val="bullet"/>
      <w:lvlText w:val="●"/>
      <w:lvlJc w:val="left"/>
      <w:pPr>
        <w:ind w:left="2880" w:hanging="360"/>
      </w:pPr>
    </w:lvl>
    <w:lvl w:ilvl="4" w:tplc="23F01954">
      <w:start w:val="1"/>
      <w:numFmt w:val="bullet"/>
      <w:lvlText w:val="○"/>
      <w:lvlJc w:val="left"/>
      <w:pPr>
        <w:ind w:left="3600" w:hanging="360"/>
      </w:pPr>
    </w:lvl>
    <w:lvl w:ilvl="5" w:tplc="F04AF9AE">
      <w:start w:val="1"/>
      <w:numFmt w:val="bullet"/>
      <w:lvlText w:val="■"/>
      <w:lvlJc w:val="left"/>
      <w:pPr>
        <w:ind w:left="4320" w:hanging="360"/>
      </w:pPr>
    </w:lvl>
    <w:lvl w:ilvl="6" w:tplc="3C029F4C">
      <w:start w:val="1"/>
      <w:numFmt w:val="bullet"/>
      <w:lvlText w:val="●"/>
      <w:lvlJc w:val="left"/>
      <w:pPr>
        <w:ind w:left="5040" w:hanging="360"/>
      </w:pPr>
    </w:lvl>
    <w:lvl w:ilvl="7" w:tplc="BDB2E63C">
      <w:start w:val="1"/>
      <w:numFmt w:val="bullet"/>
      <w:lvlText w:val="●"/>
      <w:lvlJc w:val="left"/>
      <w:pPr>
        <w:ind w:left="5760" w:hanging="360"/>
      </w:pPr>
    </w:lvl>
    <w:lvl w:ilvl="8" w:tplc="1DB6406C">
      <w:start w:val="1"/>
      <w:numFmt w:val="bullet"/>
      <w:lvlText w:val="●"/>
      <w:lvlJc w:val="left"/>
      <w:pPr>
        <w:ind w:left="6480" w:hanging="360"/>
      </w:pPr>
    </w:lvl>
  </w:abstractNum>
  <w:num w:numId="1" w16cid:durableId="376246243">
    <w:abstractNumId w:val="0"/>
    <w:lvlOverride w:ilvl="0">
      <w:startOverride w:val="1"/>
    </w:lvlOverride>
  </w:num>
  <w:num w:numId="2" w16cid:durableId="965548413">
    <w:abstractNumId w:val="1"/>
    <w:lvlOverride w:ilvl="0">
      <w:startOverride w:val="1"/>
    </w:lvlOverride>
  </w:num>
  <w:num w:numId="3" w16cid:durableId="1974604187">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reth Hughes">
    <w15:presenceInfo w15:providerId="AD" w15:userId="S::Gareth.Hughes@abs.eco::738097cb-1ca8-4abb-9715-fed638bb80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506C"/>
    <w:rsid w:val="000A76AD"/>
    <w:rsid w:val="00523E0F"/>
    <w:rsid w:val="005877D5"/>
    <w:rsid w:val="0061506C"/>
    <w:rsid w:val="00C574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B2E46E4"/>
  <w15:docId w15:val="{C03F438C-B70D-AB4E-A382-7903240BC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Arial" w:eastAsia="Arial" w:hAnsi="Arial" w:cs="Arial"/>
      <w:b/>
      <w:bCs/>
      <w:color w:val="1A3C6E"/>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CommentReference">
    <w:name w:val="annotation reference"/>
    <w:basedOn w:val="DefaultParagraphFont"/>
    <w:uiPriority w:val="99"/>
    <w:semiHidden/>
    <w:unhideWhenUsed/>
    <w:rsid w:val="000A76AD"/>
    <w:rPr>
      <w:sz w:val="16"/>
      <w:szCs w:val="16"/>
    </w:rPr>
  </w:style>
  <w:style w:type="paragraph" w:styleId="CommentText">
    <w:name w:val="annotation text"/>
    <w:basedOn w:val="Normal"/>
    <w:link w:val="CommentTextChar"/>
    <w:uiPriority w:val="99"/>
    <w:semiHidden/>
    <w:unhideWhenUsed/>
    <w:rsid w:val="000A76AD"/>
    <w:rPr>
      <w:sz w:val="20"/>
      <w:szCs w:val="20"/>
    </w:rPr>
  </w:style>
  <w:style w:type="character" w:customStyle="1" w:styleId="CommentTextChar">
    <w:name w:val="Comment Text Char"/>
    <w:basedOn w:val="DefaultParagraphFont"/>
    <w:link w:val="CommentText"/>
    <w:uiPriority w:val="99"/>
    <w:semiHidden/>
    <w:rsid w:val="000A76AD"/>
    <w:rPr>
      <w:sz w:val="20"/>
      <w:szCs w:val="20"/>
    </w:rPr>
  </w:style>
  <w:style w:type="paragraph" w:styleId="CommentSubject">
    <w:name w:val="annotation subject"/>
    <w:basedOn w:val="CommentText"/>
    <w:next w:val="CommentText"/>
    <w:link w:val="CommentSubjectChar"/>
    <w:uiPriority w:val="99"/>
    <w:semiHidden/>
    <w:unhideWhenUsed/>
    <w:rsid w:val="000A76AD"/>
    <w:rPr>
      <w:b/>
      <w:bCs/>
    </w:rPr>
  </w:style>
  <w:style w:type="character" w:customStyle="1" w:styleId="CommentSubjectChar">
    <w:name w:val="Comment Subject Char"/>
    <w:basedOn w:val="CommentTextChar"/>
    <w:link w:val="CommentSubject"/>
    <w:uiPriority w:val="99"/>
    <w:semiHidden/>
    <w:rsid w:val="000A76AD"/>
    <w:rPr>
      <w:b/>
      <w:bCs/>
      <w:sz w:val="20"/>
      <w:szCs w:val="20"/>
    </w:rPr>
  </w:style>
  <w:style w:type="character" w:styleId="UnresolvedMention">
    <w:name w:val="Unresolved Mention"/>
    <w:basedOn w:val="DefaultParagraphFont"/>
    <w:uiPriority w:val="99"/>
    <w:semiHidden/>
    <w:unhideWhenUsed/>
    <w:rsid w:val="000A76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csc.gov.uk/cyberessentials/overview" TargetMode="Externa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980</Words>
  <Characters>5588</Characters>
  <Application>Microsoft Office Word</Application>
  <DocSecurity>0</DocSecurity>
  <Lines>46</Lines>
  <Paragraphs>13</Paragraphs>
  <ScaleCrop>false</ScaleCrop>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Gareth Hughes</cp:lastModifiedBy>
  <cp:revision>3</cp:revision>
  <dcterms:created xsi:type="dcterms:W3CDTF">2026-03-17T09:13:00Z</dcterms:created>
  <dcterms:modified xsi:type="dcterms:W3CDTF">2026-03-17T09:49:00Z</dcterms:modified>
</cp:coreProperties>
</file>