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DBADF" w14:textId="77777777" w:rsidR="00AA278B" w:rsidRDefault="00000000">
      <w:pPr>
        <w:spacing w:after="40"/>
        <w:jc w:val="center"/>
      </w:pPr>
      <w:r>
        <w:rPr>
          <w:b/>
          <w:bCs/>
          <w:sz w:val="24"/>
          <w:szCs w:val="24"/>
        </w:rPr>
        <w:t>Netsapien™ PILOT: Zero-Trust, Extended. Without Trade-Off.</w:t>
      </w:r>
    </w:p>
    <w:p w14:paraId="2DF6F62C" w14:textId="77777777" w:rsidR="00AA278B" w:rsidRDefault="00AA278B">
      <w:pPr>
        <w:pBdr>
          <w:bottom w:val="single" w:sz="6" w:space="6" w:color="1A3C6E"/>
        </w:pBdr>
        <w:spacing w:after="120"/>
      </w:pPr>
    </w:p>
    <w:p w14:paraId="764EC4E2" w14:textId="756970AE" w:rsidR="00AA278B" w:rsidRDefault="00000000">
      <w:pPr>
        <w:pStyle w:val="Heading1"/>
      </w:pPr>
      <w:r>
        <w:t>The Market Is Moving - But a Critical Layer Is Missing</w:t>
      </w:r>
    </w:p>
    <w:p w14:paraId="46E3F635" w14:textId="117918CA" w:rsidR="00AA278B" w:rsidRDefault="00000000">
      <w:pPr>
        <w:spacing w:after="100"/>
      </w:pPr>
      <w:r>
        <w:t>JPMorgan Chase’s Global CISO published an open letter calling for “</w:t>
      </w:r>
      <w:r w:rsidRPr="005323D0">
        <w:rPr>
          <w:b/>
          <w:bCs/>
          <w:i/>
          <w:iCs/>
        </w:rPr>
        <w:t>continuous, demonstrable evidence that controls are working effectively, not simply relying on annual compliance checks</w:t>
      </w:r>
      <w:r>
        <w:t>.” Their Chief of AI Research has already built AI-powered digital twins for cybersecurity to monitor 19,000 employees and scaling to 320,000. His conclusion: correlational AI models aren’t enough.</w:t>
      </w:r>
    </w:p>
    <w:p w14:paraId="32691C82" w14:textId="4CF89502" w:rsidR="00AA278B" w:rsidRDefault="00000000">
      <w:pPr>
        <w:spacing w:after="100"/>
      </w:pPr>
      <w:r>
        <w:t xml:space="preserve">CrowdStrike’s 2026 Global Threat Report confirms why: 82% of attacks contain no malware; 75% of cloud attacks use authorised credentials. These are attacks designed to look normal to every tool in the stack. The industry’s response </w:t>
      </w:r>
      <w:r w:rsidR="005323D0">
        <w:t>-</w:t>
      </w:r>
      <w:r>
        <w:t xml:space="preserve"> “</w:t>
      </w:r>
      <w:r w:rsidRPr="005323D0">
        <w:rPr>
          <w:b/>
          <w:bCs/>
          <w:i/>
          <w:iCs/>
        </w:rPr>
        <w:t>faster correlation, more AI inference, deeper behavioural analytics</w:t>
      </w:r>
      <w:r>
        <w:t>” cannot solve a problem that exists beneath the data layer those tools depend on.</w:t>
      </w:r>
    </w:p>
    <w:p w14:paraId="32691C83" w14:textId="2804BDCB" w:rsidR="00AA278B" w:rsidRDefault="00000000">
      <w:pPr>
        <w:spacing w:after="100"/>
      </w:pPr>
      <w:r>
        <w:rPr>
          <w:b/>
          <w:bCs/>
        </w:rPr>
        <w:t xml:space="preserve">Water utilities are a primary target. </w:t>
      </w:r>
      <w:r>
        <w:t>State-sponsored groups and hacktivists are actively targeting water infrastructure globally. Attacks have moved beyond data theft into physical manipulatio</w:t>
      </w:r>
      <w:r w:rsidR="005323D0">
        <w:t xml:space="preserve">n with </w:t>
      </w:r>
      <w:r>
        <w:t>overflowing storage tanks, altering water pressure, and probing treatment process controls. 83% of water organisations have undocumented external connections into their OT environments. The convergence of IT and OT in modern water networks, from IoT sensors and AI analytics to remote SCADA access, has created exactly the conditions where correlational tools are most likely to fail: complex, physics-governed systems where an attacker who understands the process can manipulate readings while staying within every statistical threshold.</w:t>
      </w:r>
    </w:p>
    <w:p w14:paraId="0577651F" w14:textId="77777777" w:rsidR="00AA278B" w:rsidRDefault="00000000">
      <w:pPr>
        <w:pBdr>
          <w:top w:val="single" w:sz="4" w:space="6" w:color="1A3C6E"/>
          <w:left w:val="single" w:sz="4" w:space="8" w:color="1A3C6E"/>
          <w:bottom w:val="single" w:sz="4" w:space="6" w:color="1A3C6E"/>
          <w:right w:val="single" w:sz="4" w:space="8" w:color="1A3C6E"/>
        </w:pBdr>
        <w:spacing w:before="140" w:after="140"/>
        <w:ind w:left="720" w:right="720"/>
        <w:jc w:val="center"/>
      </w:pPr>
      <w:r>
        <w:rPr>
          <w:b/>
          <w:bCs/>
          <w:color w:val="1A3C6E"/>
          <w:sz w:val="24"/>
          <w:szCs w:val="24"/>
        </w:rPr>
        <w:t>“Is the telemetry the AI is acting on true, or false?”</w:t>
      </w:r>
    </w:p>
    <w:p w14:paraId="506F0B16" w14:textId="029C0C5B" w:rsidR="00AA278B" w:rsidRDefault="00000000">
      <w:pPr>
        <w:spacing w:after="100"/>
      </w:pPr>
      <w:r>
        <w:t xml:space="preserve">This is the question no existing tool answers. If AI reasons over falsified or manipulated data, automated defences don’t just fail, they act on false information at machine speed, </w:t>
      </w:r>
      <w:r>
        <w:rPr>
          <w:b/>
          <w:bCs/>
        </w:rPr>
        <w:t>making things worse, even faster</w:t>
      </w:r>
      <w:r>
        <w:t>. The credibility of AI-powered cyber defence depends entirely on the answer. Netsapien™ PILOT is the answer.</w:t>
      </w:r>
    </w:p>
    <w:p w14:paraId="4F092701" w14:textId="77777777" w:rsidR="00AA278B" w:rsidRDefault="00000000">
      <w:pPr>
        <w:pStyle w:val="Heading1"/>
      </w:pPr>
      <w:r>
        <w:t>The Gap: Correlation vs Causation</w:t>
      </w:r>
    </w:p>
    <w:p w14:paraId="2D2A2D4D" w14:textId="39682903" w:rsidR="00AA278B" w:rsidRDefault="00000000">
      <w:pPr>
        <w:spacing w:after="100"/>
      </w:pPr>
      <w:r>
        <w:t xml:space="preserve">Every cybersecurity tool on the market whether SIEM, EDR, NDR, XDR, behavioural AI is </w:t>
      </w:r>
      <w:r>
        <w:rPr>
          <w:b/>
          <w:bCs/>
        </w:rPr>
        <w:t>correlational</w:t>
      </w:r>
      <w:r>
        <w:t xml:space="preserve">: it watches activity, learns what normal looks like, and flags deviations. A sophisticated attacker who mimics normal behaviour is invisible to all of them. </w:t>
      </w:r>
      <w:r w:rsidRPr="005323D0">
        <w:rPr>
          <w:b/>
          <w:bCs/>
        </w:rPr>
        <w:t>PILOT</w:t>
      </w:r>
      <w:r>
        <w:t xml:space="preserve"> is </w:t>
      </w:r>
      <w:r>
        <w:rPr>
          <w:b/>
          <w:bCs/>
        </w:rPr>
        <w:t>causal</w:t>
      </w:r>
      <w:r>
        <w:t xml:space="preserve">: it </w:t>
      </w:r>
      <w:proofErr w:type="gramStart"/>
      <w:r>
        <w:t>asks</w:t>
      </w:r>
      <w:proofErr w:type="gramEnd"/>
      <w:r>
        <w:t xml:space="preserve"> “</w:t>
      </w:r>
      <w:r w:rsidRPr="005323D0">
        <w:rPr>
          <w:b/>
          <w:bCs/>
          <w:i/>
          <w:iCs/>
        </w:rPr>
        <w:t>is what the system is reporting physically and logically possible?</w:t>
      </w:r>
      <w:r w:rsidRPr="005323D0">
        <w:rPr>
          <w:b/>
          <w:bCs/>
        </w:rPr>
        <w:t>”</w:t>
      </w:r>
      <w:r>
        <w:t xml:space="preserve"> You can fool a pattern. You cannot fool physics.</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53"/>
        <w:gridCol w:w="4853"/>
      </w:tblGrid>
      <w:tr w:rsidR="00AA278B" w14:paraId="21A77587" w14:textId="77777777">
        <w:tc>
          <w:tcPr>
            <w:tcW w:w="4853" w:type="dxa"/>
            <w:shd w:val="clear" w:color="auto" w:fill="F0F4F8"/>
            <w:tcMar>
              <w:top w:w="80" w:type="dxa"/>
              <w:left w:w="120" w:type="dxa"/>
              <w:bottom w:w="80" w:type="dxa"/>
              <w:right w:w="120" w:type="dxa"/>
            </w:tcMar>
          </w:tcPr>
          <w:p w14:paraId="4618B7F1" w14:textId="77777777" w:rsidR="00AA278B" w:rsidRDefault="00000000">
            <w:pPr>
              <w:spacing w:after="40"/>
              <w:jc w:val="center"/>
            </w:pPr>
            <w:r>
              <w:rPr>
                <w:b/>
                <w:bCs/>
                <w:color w:val="333333"/>
              </w:rPr>
              <w:t>All existing tools</w:t>
            </w:r>
          </w:p>
          <w:p w14:paraId="3D5571A4" w14:textId="77777777" w:rsidR="00AA278B" w:rsidRDefault="00000000">
            <w:pPr>
              <w:jc w:val="center"/>
            </w:pPr>
            <w:r>
              <w:rPr>
                <w:color w:val="555555"/>
              </w:rPr>
              <w:t xml:space="preserve">Infer meaning </w:t>
            </w:r>
            <w:r>
              <w:rPr>
                <w:b/>
                <w:bCs/>
                <w:color w:val="1A3C6E"/>
              </w:rPr>
              <w:t>from</w:t>
            </w:r>
            <w:r>
              <w:rPr>
                <w:color w:val="555555"/>
              </w:rPr>
              <w:t xml:space="preserve"> the telemetry they see</w:t>
            </w:r>
          </w:p>
        </w:tc>
        <w:tc>
          <w:tcPr>
            <w:tcW w:w="4853" w:type="dxa"/>
            <w:shd w:val="clear" w:color="auto" w:fill="E1F5EE"/>
            <w:tcMar>
              <w:top w:w="80" w:type="dxa"/>
              <w:left w:w="120" w:type="dxa"/>
              <w:bottom w:w="80" w:type="dxa"/>
              <w:right w:w="120" w:type="dxa"/>
            </w:tcMar>
          </w:tcPr>
          <w:p w14:paraId="11F5794C" w14:textId="77777777" w:rsidR="00AA278B" w:rsidRDefault="00000000">
            <w:pPr>
              <w:spacing w:after="40"/>
              <w:jc w:val="center"/>
            </w:pPr>
            <w:r>
              <w:rPr>
                <w:b/>
                <w:bCs/>
                <w:color w:val="0F6E56"/>
              </w:rPr>
              <w:t>PILOT</w:t>
            </w:r>
          </w:p>
          <w:p w14:paraId="113B0E7C" w14:textId="77777777" w:rsidR="00AA278B" w:rsidRDefault="00000000">
            <w:pPr>
              <w:jc w:val="center"/>
            </w:pPr>
            <w:r>
              <w:rPr>
                <w:color w:val="555555"/>
              </w:rPr>
              <w:t xml:space="preserve">Infers meaning </w:t>
            </w:r>
            <w:r>
              <w:rPr>
                <w:b/>
                <w:bCs/>
                <w:color w:val="0F6E56"/>
              </w:rPr>
              <w:t>about</w:t>
            </w:r>
            <w:r>
              <w:rPr>
                <w:color w:val="555555"/>
              </w:rPr>
              <w:t xml:space="preserve"> the telemetry it sees</w:t>
            </w:r>
          </w:p>
        </w:tc>
      </w:tr>
    </w:tbl>
    <w:p w14:paraId="305484A6" w14:textId="77777777" w:rsidR="00AA278B" w:rsidRDefault="00AA278B">
      <w:pPr>
        <w:spacing w:after="60"/>
      </w:pPr>
    </w:p>
    <w:p w14:paraId="3571AE85" w14:textId="77777777" w:rsidR="00AA278B" w:rsidRDefault="00000000">
      <w:pPr>
        <w:pStyle w:val="Heading1"/>
      </w:pPr>
      <w:r>
        <w:t>What PILOT Is</w:t>
      </w:r>
    </w:p>
    <w:p w14:paraId="6540F277" w14:textId="47D9A96E" w:rsidR="00AA278B" w:rsidRDefault="00000000">
      <w:pPr>
        <w:spacing w:after="100"/>
      </w:pPr>
      <w:r>
        <w:t xml:space="preserve">PILOT is our patent-pending invention: a </w:t>
      </w:r>
      <w:r>
        <w:rPr>
          <w:b/>
          <w:bCs/>
        </w:rPr>
        <w:t>new layer</w:t>
      </w:r>
      <w:r>
        <w:t xml:space="preserve"> in the architecture of cyber defence. Where all other tools implicitly trust the data they see and act upon, </w:t>
      </w:r>
      <w:r>
        <w:rPr>
          <w:b/>
          <w:bCs/>
        </w:rPr>
        <w:t>PILOT says</w:t>
      </w:r>
      <w:r>
        <w:t>: “</w:t>
      </w:r>
      <w:r>
        <w:rPr>
          <w:b/>
          <w:bCs/>
          <w:i/>
          <w:iCs/>
        </w:rPr>
        <w:t>trust nothing, not even your own telemetry</w:t>
      </w:r>
      <w:r>
        <w:t xml:space="preserve">.” We call this </w:t>
      </w:r>
      <w:r>
        <w:rPr>
          <w:b/>
          <w:bCs/>
        </w:rPr>
        <w:t>Zero-Trust, Extended</w:t>
      </w:r>
      <w:r w:rsidR="005323D0">
        <w:rPr>
          <w:b/>
          <w:bCs/>
        </w:rPr>
        <w:t xml:space="preserve"> and w</w:t>
      </w:r>
      <w:r>
        <w:rPr>
          <w:b/>
          <w:bCs/>
        </w:rPr>
        <w:t>ithout Trade-Off.</w:t>
      </w:r>
    </w:p>
    <w:p w14:paraId="07A2AA62" w14:textId="0736B90D" w:rsidR="00AA278B" w:rsidRDefault="00000000">
      <w:pPr>
        <w:spacing w:after="100"/>
      </w:pPr>
      <w:r>
        <w:t xml:space="preserve">PILOT </w:t>
      </w:r>
      <w:r w:rsidR="005323D0">
        <w:t xml:space="preserve">is designed to </w:t>
      </w:r>
      <w:r>
        <w:t xml:space="preserve">operate using a Causal Digital Twin (CDT) that uses the same core process for both OT (cyber-physical) and IT (cyber-digital) threats. For OT, it checks the physics: thermodynamics, fluid dynamics, energy balance. In a water treatment works, if chlorine dosing is reported at normal levels but pH readings are inconsistent with that dosing, the combination is physically impossible </w:t>
      </w:r>
      <w:r w:rsidR="005323D0">
        <w:t xml:space="preserve">and </w:t>
      </w:r>
      <w:r>
        <w:t>the system is lying, regardless of what the SCADA display shows. If a pipe is building up pressure while all upstream valves are reported closed, PILOT sees the physics violation immediately. For IT, it checks the logic: identity/access rules, execution sequences, configuration states. If an action occurred without the prerequisite authorisation chain, something has been manipulated. One platform across water treatment, distribution, pumping, and enterprise IT.</w:t>
      </w:r>
    </w:p>
    <w:p w14:paraId="066F1B57" w14:textId="5F382F22" w:rsidR="00AA278B" w:rsidRDefault="00000000">
      <w:pPr>
        <w:spacing w:after="100"/>
      </w:pPr>
      <w:r>
        <w:t xml:space="preserve">PILOT is designed to work with all existing cyber tools, making them more reliable. There is </w:t>
      </w:r>
      <w:r>
        <w:rPr>
          <w:b/>
          <w:bCs/>
        </w:rPr>
        <w:t>no rip and replace</w:t>
      </w:r>
      <w:r>
        <w:t xml:space="preserve">. UK water utilities have invested heavily in cyber defences </w:t>
      </w:r>
      <w:r w:rsidR="005323D0">
        <w:t xml:space="preserve">and </w:t>
      </w:r>
      <w:r>
        <w:t>PILOT maximises that investment by verifying the data those tools depend on. For utilities already deploying operational digital twins for process optimisation, PILOT extends the same physics-based modelling principles into cybersecurity.</w:t>
      </w:r>
    </w:p>
    <w:p w14:paraId="33A5648E" w14:textId="77777777" w:rsidR="005323D0" w:rsidRDefault="005323D0">
      <w:pPr>
        <w:pStyle w:val="Heading1"/>
      </w:pPr>
    </w:p>
    <w:p w14:paraId="47F0EC9C" w14:textId="77777777" w:rsidR="005323D0" w:rsidRDefault="005323D0">
      <w:pPr>
        <w:pStyle w:val="Heading1"/>
      </w:pPr>
    </w:p>
    <w:p w14:paraId="6F7892BF" w14:textId="6B0F605E" w:rsidR="00AA278B" w:rsidRDefault="00000000">
      <w:pPr>
        <w:pStyle w:val="Heading1"/>
      </w:pPr>
      <w:r>
        <w:lastRenderedPageBreak/>
        <w:t xml:space="preserve">Independently Validated </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2427"/>
        <w:gridCol w:w="2426"/>
        <w:gridCol w:w="2427"/>
      </w:tblGrid>
      <w:tr w:rsidR="00AA278B" w14:paraId="2E5CB652" w14:textId="77777777">
        <w:tc>
          <w:tcPr>
            <w:tcW w:w="2426" w:type="dxa"/>
            <w:shd w:val="clear" w:color="auto" w:fill="E6F1FB"/>
            <w:tcMar>
              <w:top w:w="80" w:type="dxa"/>
              <w:left w:w="120" w:type="dxa"/>
              <w:bottom w:w="80" w:type="dxa"/>
              <w:right w:w="120" w:type="dxa"/>
            </w:tcMar>
          </w:tcPr>
          <w:p w14:paraId="7FA2A7CA" w14:textId="77777777" w:rsidR="00AA278B" w:rsidRDefault="00000000">
            <w:pPr>
              <w:spacing w:after="20"/>
              <w:jc w:val="center"/>
            </w:pPr>
            <w:r>
              <w:rPr>
                <w:b/>
                <w:bCs/>
                <w:color w:val="0C447C"/>
                <w:sz w:val="28"/>
                <w:szCs w:val="28"/>
              </w:rPr>
              <w:t>74%</w:t>
            </w:r>
          </w:p>
          <w:p w14:paraId="1E0BDAB5" w14:textId="77777777" w:rsidR="00AA278B" w:rsidRDefault="00000000">
            <w:pPr>
              <w:jc w:val="center"/>
            </w:pPr>
            <w:r>
              <w:rPr>
                <w:color w:val="185FA5"/>
                <w:sz w:val="16"/>
                <w:szCs w:val="16"/>
              </w:rPr>
              <w:t>false positive reduction</w:t>
            </w:r>
          </w:p>
        </w:tc>
        <w:tc>
          <w:tcPr>
            <w:tcW w:w="2427" w:type="dxa"/>
            <w:shd w:val="clear" w:color="auto" w:fill="E1F5EE"/>
            <w:tcMar>
              <w:top w:w="80" w:type="dxa"/>
              <w:left w:w="120" w:type="dxa"/>
              <w:bottom w:w="80" w:type="dxa"/>
              <w:right w:w="120" w:type="dxa"/>
            </w:tcMar>
          </w:tcPr>
          <w:p w14:paraId="47D22201" w14:textId="77777777" w:rsidR="00AA278B" w:rsidRDefault="00000000">
            <w:pPr>
              <w:spacing w:after="20"/>
              <w:jc w:val="center"/>
            </w:pPr>
            <w:r>
              <w:rPr>
                <w:b/>
                <w:bCs/>
                <w:color w:val="085041"/>
                <w:sz w:val="28"/>
                <w:szCs w:val="28"/>
              </w:rPr>
              <w:t>83%</w:t>
            </w:r>
          </w:p>
          <w:p w14:paraId="636F4871" w14:textId="77777777" w:rsidR="00AA278B" w:rsidRDefault="00000000">
            <w:pPr>
              <w:jc w:val="center"/>
            </w:pPr>
            <w:r>
              <w:rPr>
                <w:color w:val="0F6E56"/>
                <w:sz w:val="16"/>
                <w:szCs w:val="16"/>
              </w:rPr>
              <w:t>stealth attack detection</w:t>
            </w:r>
          </w:p>
        </w:tc>
        <w:tc>
          <w:tcPr>
            <w:tcW w:w="2426" w:type="dxa"/>
            <w:shd w:val="clear" w:color="auto" w:fill="FAEEDA"/>
            <w:tcMar>
              <w:top w:w="80" w:type="dxa"/>
              <w:left w:w="120" w:type="dxa"/>
              <w:bottom w:w="80" w:type="dxa"/>
              <w:right w:w="120" w:type="dxa"/>
            </w:tcMar>
          </w:tcPr>
          <w:p w14:paraId="3F3B0D37" w14:textId="77777777" w:rsidR="00AA278B" w:rsidRDefault="00000000">
            <w:pPr>
              <w:spacing w:after="20"/>
              <w:jc w:val="center"/>
            </w:pPr>
            <w:r>
              <w:rPr>
                <w:b/>
                <w:bCs/>
                <w:color w:val="854F0B"/>
                <w:sz w:val="28"/>
                <w:szCs w:val="28"/>
              </w:rPr>
              <w:t>61%</w:t>
            </w:r>
          </w:p>
          <w:p w14:paraId="5776BB9D" w14:textId="77777777" w:rsidR="00AA278B" w:rsidRDefault="00000000">
            <w:pPr>
              <w:jc w:val="center"/>
            </w:pPr>
            <w:r>
              <w:rPr>
                <w:color w:val="BA7517"/>
                <w:sz w:val="16"/>
                <w:szCs w:val="16"/>
              </w:rPr>
              <w:t>root cause improvement</w:t>
            </w:r>
          </w:p>
        </w:tc>
        <w:tc>
          <w:tcPr>
            <w:tcW w:w="2427" w:type="dxa"/>
            <w:shd w:val="clear" w:color="auto" w:fill="EEEDFE"/>
            <w:tcMar>
              <w:top w:w="80" w:type="dxa"/>
              <w:left w:w="120" w:type="dxa"/>
              <w:bottom w:w="80" w:type="dxa"/>
              <w:right w:w="120" w:type="dxa"/>
            </w:tcMar>
          </w:tcPr>
          <w:p w14:paraId="01085E90" w14:textId="77777777" w:rsidR="00AA278B" w:rsidRDefault="00000000">
            <w:pPr>
              <w:spacing w:after="20"/>
              <w:jc w:val="center"/>
            </w:pPr>
            <w:r>
              <w:rPr>
                <w:b/>
                <w:bCs/>
                <w:color w:val="3C3489"/>
                <w:sz w:val="28"/>
                <w:szCs w:val="28"/>
              </w:rPr>
              <w:t>&lt;4ms</w:t>
            </w:r>
          </w:p>
          <w:p w14:paraId="39207CB3" w14:textId="77777777" w:rsidR="00AA278B" w:rsidRDefault="00000000">
            <w:pPr>
              <w:jc w:val="center"/>
            </w:pPr>
            <w:r>
              <w:rPr>
                <w:color w:val="534AB7"/>
                <w:sz w:val="16"/>
                <w:szCs w:val="16"/>
              </w:rPr>
              <w:t>real-time latency</w:t>
            </w:r>
          </w:p>
        </w:tc>
      </w:tr>
    </w:tbl>
    <w:p w14:paraId="35CB3E2F" w14:textId="68682D1D" w:rsidR="00AA278B" w:rsidRDefault="00000000">
      <w:pPr>
        <w:spacing w:before="60" w:after="100"/>
        <w:jc w:val="center"/>
      </w:pPr>
      <w:r>
        <w:rPr>
          <w:color w:val="555555"/>
          <w:sz w:val="18"/>
          <w:szCs w:val="18"/>
        </w:rPr>
        <w:t>Independently validated through EU-funded research in real-world OT environments</w:t>
      </w:r>
    </w:p>
    <w:p w14:paraId="511D551C" w14:textId="77777777" w:rsidR="00AA278B" w:rsidRDefault="00000000">
      <w:pPr>
        <w:pStyle w:val="Heading1"/>
      </w:pPr>
      <w:r>
        <w:t>Built on NVIDIA</w:t>
      </w:r>
    </w:p>
    <w:p w14:paraId="6D56EA50" w14:textId="75A5823E" w:rsidR="00AA278B" w:rsidRDefault="00000000">
      <w:pPr>
        <w:spacing w:after="100"/>
      </w:pPr>
      <w:r>
        <w:t xml:space="preserve">PILOT is designed to be built on NVIDIA platforms: </w:t>
      </w:r>
      <w:r>
        <w:rPr>
          <w:b/>
          <w:bCs/>
        </w:rPr>
        <w:t>BlueField</w:t>
      </w:r>
      <w:r>
        <w:t xml:space="preserve"> provides the most trustworthy cyber-telemetry through trusted, zero-copy capture and inline policy enforcement. </w:t>
      </w:r>
      <w:r>
        <w:rPr>
          <w:b/>
          <w:bCs/>
        </w:rPr>
        <w:t>Morpheus</w:t>
      </w:r>
      <w:r>
        <w:t xml:space="preserve"> provides the GPU-accelerated analytics our reasoning engine uses. </w:t>
      </w:r>
      <w:r>
        <w:rPr>
          <w:b/>
          <w:bCs/>
        </w:rPr>
        <w:t>Omniverse</w:t>
      </w:r>
      <w:r>
        <w:t xml:space="preserve"> provides the simulation and digital twin environment. PILOT extends these platforms into enterprise and government environments, enabling AI-powered defensive tools from NVIDIA’s ecosystem to reach their full potential.</w:t>
      </w:r>
    </w:p>
    <w:p w14:paraId="3A67E26B" w14:textId="033B9FF3" w:rsidR="00AA278B" w:rsidRDefault="00000000">
      <w:pPr>
        <w:spacing w:after="100"/>
      </w:pPr>
      <w:r>
        <w:t>By performing trusted telemetry capture inline on the data path, BlueField ensures only high-value signals are forwarded to GPU-based analytics, reducing bandwidth consumption and, in hybrid or cloud-connected deployments, lowering network ingress and egress costs, improving PILOT’s ROI further.</w:t>
      </w:r>
    </w:p>
    <w:p w14:paraId="3E65F72A" w14:textId="77777777" w:rsidR="00AA278B" w:rsidRDefault="00000000">
      <w:pPr>
        <w:pStyle w:val="Heading1"/>
      </w:pPr>
      <w:r>
        <w:t>Regulatory and Water Sector Tailwind</w:t>
      </w:r>
    </w:p>
    <w:p w14:paraId="68C7ED5B" w14:textId="1441F918" w:rsidR="00AA278B" w:rsidRDefault="00000000">
      <w:pPr>
        <w:spacing w:after="100"/>
      </w:pPr>
      <w:r>
        <w:t xml:space="preserve">The UK’s Cyber Security and Resilience Bill is bringing data centres, managed service providers, and critical suppliers into regulatory scope for the first time. For water utilities specifically, Ofwat’s PR25 framework now embeds cyber readiness directly into business performance metrics, and the NCSC’s updated Cyber Assessment Framework (CAF 4.0, August 2025) raises the bar for what demonstrable detection capability looks like. The water sector is under sustained and escalating cyber pressure: the Drinking Water Inspectorate received a record number of confirmed cyberattack reports in the last two years; Dragos’s 2026 OT/ICS report tracks 26 threat groups globally with attacks shifting from reconnaissance to deliberate disruption of physical processes; and hacktivists have caused real-world physical impacts on water infrastructure internationally. Current NIS Regulations only require disclosure of incidents that </w:t>
      </w:r>
      <w:proofErr w:type="gramStart"/>
      <w:r>
        <w:t>actually disrupt</w:t>
      </w:r>
      <w:proofErr w:type="gramEnd"/>
      <w:r>
        <w:t xml:space="preserve"> essential services </w:t>
      </w:r>
      <w:r w:rsidR="005323D0">
        <w:t xml:space="preserve">and </w:t>
      </w:r>
      <w:r>
        <w:t xml:space="preserve">pre-positioning </w:t>
      </w:r>
      <w:proofErr w:type="gramStart"/>
      <w:r>
        <w:t>campaigns</w:t>
      </w:r>
      <w:proofErr w:type="gramEnd"/>
      <w:r>
        <w:t xml:space="preserve"> and near-misses go unreported, meaning the true exposure is almost certainly higher than the public record suggests. PILOT provides measurable, auditable detection metrics that move beyond compliance tick-boxes, turning detection maturity from a self-reported claim into a verifiable asset </w:t>
      </w:r>
      <w:r w:rsidR="005323D0">
        <w:t xml:space="preserve">which is </w:t>
      </w:r>
      <w:r>
        <w:t>exactly what regulators, boards, and insurers now require.</w:t>
      </w:r>
    </w:p>
    <w:p w14:paraId="58E9B9DD" w14:textId="77777777" w:rsidR="00AA278B" w:rsidRDefault="00AA278B">
      <w:pPr>
        <w:pBdr>
          <w:top w:val="single" w:sz="4" w:space="6" w:color="1A3C6E"/>
        </w:pBdr>
        <w:spacing w:before="80" w:after="40"/>
      </w:pPr>
    </w:p>
    <w:p w14:paraId="198C2C27" w14:textId="40875A37" w:rsidR="00AA278B" w:rsidRDefault="00000000">
      <w:pPr>
        <w:spacing w:after="20"/>
        <w:jc w:val="center"/>
      </w:pPr>
      <w:r>
        <w:rPr>
          <w:b/>
          <w:bCs/>
          <w:color w:val="555555"/>
          <w:sz w:val="16"/>
          <w:szCs w:val="16"/>
        </w:rPr>
        <w:t xml:space="preserve">STRICTLY PRIVATE &amp; CONFIDENTIAL </w:t>
      </w:r>
      <w:r w:rsidR="005323D0">
        <w:rPr>
          <w:b/>
          <w:bCs/>
          <w:color w:val="555555"/>
          <w:sz w:val="16"/>
          <w:szCs w:val="16"/>
        </w:rPr>
        <w:t>-</w:t>
      </w:r>
      <w:r>
        <w:rPr>
          <w:b/>
          <w:bCs/>
          <w:color w:val="555555"/>
          <w:sz w:val="16"/>
          <w:szCs w:val="16"/>
        </w:rPr>
        <w:t xml:space="preserve"> © Digital Twins Solutions LLC, 2026</w:t>
      </w:r>
    </w:p>
    <w:p w14:paraId="318697FB" w14:textId="77777777" w:rsidR="00AA278B" w:rsidRDefault="00000000">
      <w:pPr>
        <w:jc w:val="center"/>
      </w:pPr>
      <w:r>
        <w:rPr>
          <w:color w:val="555555"/>
          <w:sz w:val="16"/>
          <w:szCs w:val="16"/>
        </w:rPr>
        <w:t>All Rights Reserved</w:t>
      </w:r>
    </w:p>
    <w:sectPr w:rsidR="00AA278B">
      <w:pgSz w:w="11906" w:h="16838"/>
      <w:pgMar w:top="1000" w:right="1100" w:bottom="8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E75EB"/>
    <w:multiLevelType w:val="hybridMultilevel"/>
    <w:tmpl w:val="F6A265A6"/>
    <w:lvl w:ilvl="0" w:tplc="0310E6CA">
      <w:start w:val="1"/>
      <w:numFmt w:val="bullet"/>
      <w:lvlText w:val="●"/>
      <w:lvlJc w:val="left"/>
      <w:pPr>
        <w:ind w:left="720" w:hanging="360"/>
      </w:pPr>
    </w:lvl>
    <w:lvl w:ilvl="1" w:tplc="690A25DE">
      <w:start w:val="1"/>
      <w:numFmt w:val="bullet"/>
      <w:lvlText w:val="○"/>
      <w:lvlJc w:val="left"/>
      <w:pPr>
        <w:ind w:left="1440" w:hanging="360"/>
      </w:pPr>
    </w:lvl>
    <w:lvl w:ilvl="2" w:tplc="176265DC">
      <w:start w:val="1"/>
      <w:numFmt w:val="bullet"/>
      <w:lvlText w:val="■"/>
      <w:lvlJc w:val="left"/>
      <w:pPr>
        <w:ind w:left="2160" w:hanging="360"/>
      </w:pPr>
    </w:lvl>
    <w:lvl w:ilvl="3" w:tplc="02F00B70">
      <w:start w:val="1"/>
      <w:numFmt w:val="bullet"/>
      <w:lvlText w:val="●"/>
      <w:lvlJc w:val="left"/>
      <w:pPr>
        <w:ind w:left="2880" w:hanging="360"/>
      </w:pPr>
    </w:lvl>
    <w:lvl w:ilvl="4" w:tplc="26003FC8">
      <w:start w:val="1"/>
      <w:numFmt w:val="bullet"/>
      <w:lvlText w:val="○"/>
      <w:lvlJc w:val="left"/>
      <w:pPr>
        <w:ind w:left="3600" w:hanging="360"/>
      </w:pPr>
    </w:lvl>
    <w:lvl w:ilvl="5" w:tplc="3786A1A6">
      <w:start w:val="1"/>
      <w:numFmt w:val="bullet"/>
      <w:lvlText w:val="■"/>
      <w:lvlJc w:val="left"/>
      <w:pPr>
        <w:ind w:left="4320" w:hanging="360"/>
      </w:pPr>
    </w:lvl>
    <w:lvl w:ilvl="6" w:tplc="CEA87B60">
      <w:start w:val="1"/>
      <w:numFmt w:val="bullet"/>
      <w:lvlText w:val="●"/>
      <w:lvlJc w:val="left"/>
      <w:pPr>
        <w:ind w:left="5040" w:hanging="360"/>
      </w:pPr>
    </w:lvl>
    <w:lvl w:ilvl="7" w:tplc="9D44CE26">
      <w:start w:val="1"/>
      <w:numFmt w:val="bullet"/>
      <w:lvlText w:val="●"/>
      <w:lvlJc w:val="left"/>
      <w:pPr>
        <w:ind w:left="5760" w:hanging="360"/>
      </w:pPr>
    </w:lvl>
    <w:lvl w:ilvl="8" w:tplc="3E604D44">
      <w:start w:val="1"/>
      <w:numFmt w:val="bullet"/>
      <w:lvlText w:val="●"/>
      <w:lvlJc w:val="left"/>
      <w:pPr>
        <w:ind w:left="6480" w:hanging="360"/>
      </w:pPr>
    </w:lvl>
  </w:abstractNum>
  <w:num w:numId="1" w16cid:durableId="1994261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78B"/>
    <w:rsid w:val="00160E58"/>
    <w:rsid w:val="005323D0"/>
    <w:rsid w:val="00AA278B"/>
    <w:rsid w:val="00DC60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D3D5D9"/>
  <w15:docId w15:val="{9274A5D3-6C74-0F44-8545-F1A3EC79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A3C6E"/>
      <w:sz w:val="22"/>
      <w:szCs w:val="2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986</Words>
  <Characters>5625</Characters>
  <Application>Microsoft Office Word</Application>
  <DocSecurity>0</DocSecurity>
  <Lines>46</Lines>
  <Paragraphs>13</Paragraphs>
  <ScaleCrop>false</ScaleCrop>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Gareth Hughes</cp:lastModifiedBy>
  <cp:revision>3</cp:revision>
  <dcterms:created xsi:type="dcterms:W3CDTF">2026-04-02T12:14:00Z</dcterms:created>
  <dcterms:modified xsi:type="dcterms:W3CDTF">2026-04-03T08:47:00Z</dcterms:modified>
</cp:coreProperties>
</file>