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200"/>
        <w:jc w:val="left"/>
      </w:pPr>
      <w:r>
        <w:rPr>
          <w:rFonts w:ascii="Arial" w:cs="Arial" w:eastAsia="Arial" w:hAnsi="Arial"/>
          <w:i/>
          <w:iCs/>
          <w:color w:val="666666"/>
          <w:sz w:val="20"/>
          <w:szCs w:val="20"/>
        </w:rPr>
        <w:t xml:space="preserve">STRICTLY PRIVATE &amp; CONFIDENTIAL</w:t>
      </w:r>
    </w:p>
    <w:p>
      <w:pPr>
        <w:pBdr>
          <w:bottom w:val="single" w:color="2E75B6" w:sz="6" w:space="8"/>
        </w:pBdr>
        <w:spacing w:after="100"/>
        <w:jc w:val="left"/>
      </w:pPr>
      <w:r>
        <w:rPr>
          <w:rFonts w:ascii="Arial" w:cs="Arial" w:eastAsia="Arial" w:hAnsi="Arial"/>
          <w:b/>
          <w:bCs/>
          <w:color w:val="1B3A5C"/>
          <w:sz w:val="52"/>
          <w:szCs w:val="52"/>
        </w:rPr>
        <w:t xml:space="preserve">Netsapien</w:t>
      </w:r>
      <w:r>
        <w:rPr>
          <w:rFonts w:ascii="Arial" w:cs="Arial" w:eastAsia="Arial" w:hAnsi="Arial"/>
          <w:b/>
          <w:bCs/>
          <w:color w:val="1B3A5C"/>
          <w:sz w:val="32"/>
          <w:szCs w:val="32"/>
          <w:vertAlign w:val="superscript"/>
        </w:rPr>
        <w:t xml:space="preserve">™</w:t>
      </w:r>
      <w:r>
        <w:rPr>
          <w:rFonts w:ascii="Arial" w:cs="Arial" w:eastAsia="Arial" w:hAnsi="Arial"/>
          <w:b/>
          <w:bCs/>
          <w:color w:val="2E75B6"/>
          <w:sz w:val="52"/>
          <w:szCs w:val="52"/>
        </w:rPr>
        <w:t xml:space="preserve"> PILOT</w:t>
      </w:r>
    </w:p>
    <w:p>
      <w:pPr>
        <w:spacing w:after="100" w:before="200"/>
        <w:jc w:val="left"/>
      </w:pPr>
      <w:r>
        <w:rPr>
          <w:rFonts w:ascii="Arial" w:cs="Arial" w:eastAsia="Arial" w:hAnsi="Arial"/>
          <w:color w:val="1B3A5C"/>
          <w:sz w:val="32"/>
          <w:szCs w:val="32"/>
        </w:rPr>
        <w:t xml:space="preserve">Causal Integrity Verification for Water Utility</w:t>
      </w:r>
    </w:p>
    <w:p>
      <w:pPr>
        <w:spacing w:after="100"/>
        <w:jc w:val="left"/>
      </w:pPr>
      <w:r>
        <w:rPr>
          <w:rFonts w:ascii="Arial" w:cs="Arial" w:eastAsia="Arial" w:hAnsi="Arial"/>
          <w:color w:val="1B3A5C"/>
          <w:sz w:val="32"/>
          <w:szCs w:val="32"/>
        </w:rPr>
        <w:t xml:space="preserve">Operational Technology</w:t>
      </w:r>
    </w:p>
    <w:p>
      <w:pPr>
        <w:spacing w:after="600" w:before="300"/>
        <w:jc w:val="left"/>
      </w:pPr>
      <w:r>
        <w:rPr>
          <w:rFonts w:ascii="Arial" w:cs="Arial" w:eastAsia="Arial" w:hAnsi="Arial"/>
          <w:color w:val="666666"/>
          <w:sz w:val="24"/>
          <w:szCs w:val="24"/>
        </w:rPr>
        <w:t xml:space="preserve">Prepared for Severn Trent Water</w:t>
      </w:r>
    </w:p>
    <w:p>
      <w:pPr>
        <w:spacing w:after="200"/>
      </w:pPr>
    </w:p>
    <w:p>
      <w:pPr>
        <w:spacing w:after="200"/>
      </w:pPr>
    </w:p>
    <w:p>
      <w:pPr>
        <w:spacing w:after="80"/>
      </w:pPr>
      <w:r>
        <w:rPr>
          <w:rFonts w:ascii="Arial" w:cs="Arial" w:eastAsia="Arial" w:hAnsi="Arial"/>
          <w:color w:val="666666"/>
          <w:sz w:val="20"/>
          <w:szCs w:val="20"/>
        </w:rPr>
        <w:t xml:space="preserve">From: </w:t>
      </w:r>
      <w:r>
        <w:rPr>
          <w:rFonts w:ascii="Arial" w:cs="Arial" w:eastAsia="Arial" w:hAnsi="Arial"/>
          <w:color w:val="333333"/>
          <w:sz w:val="20"/>
          <w:szCs w:val="20"/>
        </w:rPr>
        <w:t xml:space="preserve">Gareth Hughes, Head of Corporate Development</w:t>
      </w:r>
    </w:p>
    <w:p>
      <w:pPr>
        <w:spacing w:after="80"/>
      </w:pPr>
      <w:r>
        <w:rPr>
          <w:rFonts w:ascii="Arial" w:cs="Arial" w:eastAsia="Arial" w:hAnsi="Arial"/>
          <w:color w:val="666666"/>
          <w:sz w:val="20"/>
          <w:szCs w:val="20"/>
        </w:rPr>
        <w:t xml:space="preserve">Organisation: </w:t>
      </w:r>
      <w:r>
        <w:rPr>
          <w:rFonts w:ascii="Arial" w:cs="Arial" w:eastAsia="Arial" w:hAnsi="Arial"/>
          <w:color w:val="333333"/>
          <w:sz w:val="20"/>
          <w:szCs w:val="20"/>
        </w:rPr>
        <w:t xml:space="preserve">Digital Twins Solutions (DTS)</w:t>
      </w:r>
    </w:p>
    <w:p>
      <w:pPr>
        <w:spacing w:after="80"/>
      </w:pPr>
      <w:r>
        <w:rPr>
          <w:rFonts w:ascii="Arial" w:cs="Arial" w:eastAsia="Arial" w:hAnsi="Arial"/>
          <w:color w:val="666666"/>
          <w:sz w:val="20"/>
          <w:szCs w:val="20"/>
        </w:rPr>
        <w:t xml:space="preserve">Date: </w:t>
      </w:r>
      <w:r>
        <w:rPr>
          <w:rFonts w:ascii="Arial" w:cs="Arial" w:eastAsia="Arial" w:hAnsi="Arial"/>
          <w:color w:val="333333"/>
          <w:sz w:val="20"/>
          <w:szCs w:val="20"/>
        </w:rPr>
        <w:t xml:space="preserve">3rd April 2026</w:t>
      </w:r>
    </w:p>
    <w:p>
      <w:pPr>
        <w:spacing w:after="80"/>
      </w:pPr>
      <w:r>
        <w:rPr>
          <w:rFonts w:ascii="Arial" w:cs="Arial" w:eastAsia="Arial" w:hAnsi="Arial"/>
          <w:color w:val="666666"/>
          <w:sz w:val="20"/>
          <w:szCs w:val="20"/>
        </w:rPr>
        <w:t xml:space="preserve">Classification: </w:t>
      </w:r>
      <w:r>
        <w:rPr>
          <w:rFonts w:ascii="Arial" w:cs="Arial" w:eastAsia="Arial" w:hAnsi="Arial"/>
          <w:i/>
          <w:iCs/>
          <w:color w:val="333333"/>
          <w:sz w:val="20"/>
          <w:szCs w:val="20"/>
        </w:rPr>
        <w:t xml:space="preserve">Strictly Private &amp; Confidential</w:t>
      </w:r>
    </w:p>
    <w:p>
      <w:pPr>
        <w:sectPr>
          <w:pgSz w:w="11906" w:h="16838" w:orient="portrait"/>
          <w:pgMar w:top="1440" w:right="1440" w:bottom="1440" w:left="1440" w:header="708" w:footer="708" w:gutter="0"/>
          <w:pgNumType/>
          <w:docGrid w:linePitch="360"/>
        </w:sectPr>
      </w:pPr>
    </w:p>
    <w:p>
      <w:pPr>
        <w:pStyle w:val="Heading1"/>
      </w:pPr>
      <w:r>
        <w:t xml:space="preserve">Why We Are Writing to You</w:t>
      </w:r>
    </w:p>
    <w:p>
      <w:pPr>
        <w:spacing w:after="160"/>
      </w:pPr>
      <w:r>
        <w:t xml:space="preserve">We know Severn Trent is investing significantly in cybersecurity, including a </w:t>
      </w:r>
      <w:r>
        <w:rPr>
          <w:b/>
          <w:bCs/>
        </w:rPr>
        <w:t xml:space="preserve">£70 million programme</w:t>
      </w:r>
      <w:r>
        <w:t xml:space="preserve"> that encompasses a new Zero Trust model described as an industry first. We also know you are deploying operational digital twin technology at scale, including the Siemens gPROMS platform at Strongford integrating over 60,000 data points across your wastewater treatment operations.</w:t>
      </w:r>
    </w:p>
    <w:p>
      <w:pPr>
        <w:spacing w:after="160"/>
      </w:pPr>
      <w:r>
        <w:t xml:space="preserve">This memo introduces a technology that sits at the intersection of those two strategic priorities: </w:t>
      </w:r>
      <w:r>
        <w:rPr>
          <w:b/>
          <w:bCs/>
        </w:rPr>
        <w:t xml:space="preserve">Netsapien™ PILOT</w:t>
      </w:r>
      <w:r>
        <w:t xml:space="preserve"> (Parallel Integrity Layer of Truth), a patent-pending cybersecurity platform that uses causal digital twin technology to verify whether the data your operational systems are reporting is physically and logically possible.</w:t>
      </w:r>
    </w:p>
    <w:p>
      <w:pPr>
        <w:spacing w:after="200"/>
      </w:pPr>
      <w:r>
        <w:t xml:space="preserve">We believe this is directly relevant to Severn Trent’s cyber and OT teams, and we would welcome the opportunity to discuss it with the appropriate colleagues.</w:t>
      </w:r>
    </w:p>
    <w:p>
      <w:pPr>
        <w:pStyle w:val="Heading1"/>
      </w:pPr>
      <w:r>
        <w:t xml:space="preserve">The Problem: A Blind Spot in Every Existing Tool</w:t>
      </w:r>
    </w:p>
    <w:p>
      <w:pPr>
        <w:spacing w:after="160"/>
      </w:pPr>
      <w:r>
        <w:t xml:space="preserve">Every cybersecurity tool deployed across UK water utilities today, whether SIEM, EDR, NDR, or behavioural AI, works by </w:t>
      </w:r>
      <w:r>
        <w:rPr>
          <w:b/>
          <w:bCs/>
        </w:rPr>
        <w:t xml:space="preserve">correlation</w:t>
      </w:r>
      <w:r>
        <w:t xml:space="preserve">: watching activity, learning what “normal” looks like, and flagging deviations. This is valuable, but it has a fundamental blind spot: </w:t>
      </w:r>
      <w:r>
        <w:rPr>
          <w:b/>
          <w:bCs/>
        </w:rPr>
        <w:t xml:space="preserve">a sophisticated attacker who mimics normal behaviour is invisible to every one of these tools.</w:t>
      </w:r>
    </w:p>
    <w:p>
      <w:pPr>
        <w:pStyle w:val="Heading2"/>
      </w:pPr>
      <w:r>
        <w:t xml:space="preserve">Why This Matters for Water Utilities Specifically</w:t>
      </w:r>
    </w:p>
    <w:p>
      <w:pPr>
        <w:spacing w:after="160"/>
      </w:pPr>
      <w:r>
        <w:t xml:space="preserve">The water sector faces a distinct and escalating threat landscape:</w:t>
      </w:r>
    </w:p>
    <w:p>
      <w:pPr>
        <w:pStyle w:val="ListParagraph"/>
        <w:numPr>
          <w:ilvl w:val="0"/>
          <w:numId w:val="2"/>
        </w:numPr>
        <w:spacing w:after="100"/>
      </w:pPr>
      <w:r>
        <w:rPr>
          <w:b/>
          <w:bCs/>
        </w:rPr>
        <w:t xml:space="preserve">Record levels of attack: </w:t>
      </w:r>
      <w:r>
        <w:t xml:space="preserve">Between January 2024 and October 2025, the Drinking Water Inspectorate received 15 incident reports under the NIS Regulations, five of which were confirmed cyberattacks on water suppliers — a record number in any two-year period.</w:t>
      </w:r>
    </w:p>
    <w:p>
      <w:pPr>
        <w:pStyle w:val="ListParagraph"/>
        <w:numPr>
          <w:ilvl w:val="0"/>
          <w:numId w:val="2"/>
        </w:numPr>
        <w:spacing w:after="100"/>
      </w:pPr>
      <w:r>
        <w:rPr>
          <w:b/>
          <w:bCs/>
        </w:rPr>
        <w:t xml:space="preserve">State-sponsored OT targeting: </w:t>
      </w:r>
      <w:r>
        <w:t xml:space="preserve">Dragos’s 2026 OT/ICS Cybersecurity Report identifies 26 OT threat groups globally, 11 active in 2025, with attacks shifting from reconnaissance to deliberate disruption of physical processes. VOLTZITE has been elevated to Stage 2 of the ICS Cyber Kill Chain, having manipulated engineering workstation software and extracted operational configuration files.</w:t>
      </w:r>
    </w:p>
    <w:p>
      <w:pPr>
        <w:pStyle w:val="ListParagraph"/>
        <w:numPr>
          <w:ilvl w:val="0"/>
          <w:numId w:val="2"/>
        </w:numPr>
        <w:spacing w:after="100"/>
      </w:pPr>
      <w:r>
        <w:rPr>
          <w:b/>
          <w:bCs/>
        </w:rPr>
        <w:t xml:space="preserve">Low-sophistication, high-impact: </w:t>
      </w:r>
      <w:r>
        <w:t xml:space="preserve">Hacktivists have physically tampered with water infrastructure — causing storage tanks to overflow in Texas and manipulating water pressure in a Canadian facility — using basic exploitation of internet-exposed PLCs and HMIs.</w:t>
      </w:r>
    </w:p>
    <w:p>
      <w:pPr>
        <w:pStyle w:val="ListParagraph"/>
        <w:numPr>
          <w:ilvl w:val="0"/>
          <w:numId w:val="2"/>
        </w:numPr>
        <w:spacing w:after="100"/>
      </w:pPr>
      <w:r>
        <w:rPr>
          <w:b/>
          <w:bCs/>
        </w:rPr>
        <w:t xml:space="preserve">IT/OT convergence exposure: </w:t>
      </w:r>
      <w:r>
        <w:t xml:space="preserve">Research shows 83% of water organisations have undocumented or uncontrolled external connections into OT environments. As Severn Trent deploys more IoT sensors, AI analytics, and remote monitoring across its network, the attack surface expands.</w:t>
      </w:r>
    </w:p>
    <w:p>
      <w:pPr>
        <w:pStyle w:val="ListParagraph"/>
        <w:numPr>
          <w:ilvl w:val="0"/>
          <w:numId w:val="2"/>
        </w:numPr>
        <w:spacing w:after="200"/>
      </w:pPr>
      <w:r>
        <w:rPr>
          <w:b/>
          <w:bCs/>
        </w:rPr>
        <w:t xml:space="preserve">Regulatory tightening: </w:t>
      </w:r>
      <w:r>
        <w:t xml:space="preserve">The Cyber Security and Resilience Bill brings new obligations to CNI operators. Ofwat’s PR25 framework embeds cyber readiness directly into business performance metrics. The NCSC’s updated Cyber Assessment Framework (CAF 4.0, August 2025) raises the bar for what “good” looks like.</w:t>
      </w:r>
    </w:p>
    <w:p>
      <w:pPr>
        <w:spacing w:after="200"/>
      </w:pPr>
      <w:r>
        <w:t xml:space="preserve">The critical gap is that all existing tools, including those Severn Trent is deploying as part of its £70m programme, implicitly trust the telemetry they receive. If that telemetry has been manipulated, every tool built on top of it fails silently.</w:t>
      </w:r>
    </w:p>
    <w:p>
      <w:pPr>
        <w:pStyle w:val="Heading1"/>
      </w:pPr>
      <w:r>
        <w:t xml:space="preserve">What PILOT Is</w:t>
      </w:r>
    </w:p>
    <w:p>
      <w:pPr>
        <w:spacing w:after="160"/>
      </w:pPr>
      <w:r>
        <w:t xml:space="preserve">PILOT is a new architectural layer in cyber defence. Where every existing tool asks </w:t>
      </w:r>
      <w:r>
        <w:rPr>
          <w:i/>
          <w:iCs/>
        </w:rPr>
        <w:t xml:space="preserve">“is this behaviour unusual?”</w:t>
      </w:r>
      <w:r>
        <w:t xml:space="preserve">, PILOT asks </w:t>
      </w:r>
      <w:r>
        <w:rPr>
          <w:b/>
          <w:bCs/>
          <w:i/>
          <w:iCs/>
        </w:rPr>
        <w:t xml:space="preserve">“is what the system is reporting physically and logically possible?”</w:t>
      </w:r>
    </w:p>
    <w:p>
      <w:pPr>
        <w:spacing w:after="160"/>
      </w:pPr>
      <w:r>
        <w:t xml:space="preserve">PILOT uses a Causal Digital Twin (CDT) to validate system behaviour against the laws of physics and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For OT (Cyber-Physical)</w:t>
            </w:r>
          </w:p>
        </w:tc>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For IT (Cyber-Digital)</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80"/>
            </w:pPr>
            <w:r>
              <w:t xml:space="preserve">Checks physics: thermodynamics, fluid dynamics, energy balance.</w:t>
            </w:r>
          </w:p>
          <w:p>
            <w:pPr>
              <w:spacing w:after="80"/>
            </w:pPr>
            <w:r>
              <w:rPr>
                <w:b/>
                <w:bCs/>
              </w:rPr>
              <w:t xml:space="preserve">Water example:</w:t>
            </w:r>
          </w:p>
          <w:p>
            <w:r>
              <w:t xml:space="preserve">A cooling system reports normal temperatures but energy consumption doesn’t match — the system is lying.</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80"/>
            </w:pPr>
            <w:r>
              <w:t xml:space="preserve">Checks logic: identity/access rules, execution sequences, configuration states.</w:t>
            </w:r>
          </w:p>
          <w:p>
            <w:pPr>
              <w:spacing w:after="80"/>
            </w:pPr>
            <w:r>
              <w:rPr>
                <w:b/>
                <w:bCs/>
              </w:rPr>
              <w:t xml:space="preserve">IT example:</w:t>
            </w:r>
          </w:p>
          <w:p>
            <w:r>
              <w:t xml:space="preserve">An action occurred without the prerequisite authorisation chain — something has been manipulated.</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CCCCCC" w:sz="1"/>
              <w:bottom w:val="single" w:color="CCCCCC" w:sz="1"/>
              <w:right w:val="single" w:color="CCCCCC" w:sz="1"/>
            </w:tcBorders>
            <w:shd w:fill="F2F7FB" w:val="clear"/>
            <w:tcMar>
              <w:top w:type="dxa" w:w="120"/>
              <w:left w:type="dxa" w:w="200"/>
              <w:bottom w:type="dxa" w:w="120"/>
              <w:right w:type="dxa" w:w="200"/>
            </w:tcMar>
          </w:tcPr>
          <w:p>
            <w:pPr>
              <w:spacing w:after="100"/>
            </w:pPr>
            <w:r>
              <w:rPr>
                <w:b/>
                <w:bCs/>
                <w:color w:val="1B3A5C"/>
                <w:sz w:val="22"/>
                <w:szCs w:val="22"/>
              </w:rPr>
              <w:t xml:space="preserve">WATER UTILITY EXAMPLE</w:t>
            </w:r>
          </w:p>
          <w:p>
            <w:pPr>
              <w:spacing w:after="80"/>
            </w:pPr>
            <w:r>
              <w:t xml:space="preserve">A treatment works reports chlorine dosing at normal levels. But the pH readings are inconsistent with the reported dosing — that combination is </w:t>
            </w:r>
            <w:r>
              <w:rPr>
                <w:b/>
                <w:bCs/>
              </w:rPr>
              <w:t xml:space="preserve">physically impossible</w:t>
            </w:r>
            <w:r>
              <w:t xml:space="preserve">. Conventional SIEM/NDR tools see legitimate values on each individual parameter. PILOT sees the physics violation across the process and raises an immediate alert — preventing a potential contamination incident.</w:t>
            </w:r>
          </w:p>
          <w:p>
            <w:r>
              <w:rPr>
                <w:i/>
                <w:iCs/>
                <w:color w:val="666666"/>
              </w:rPr>
              <w:t xml:space="preserve">Or: a pipe is building up pressure while all upstream valves are reported closed. Is it an operational fault, or a nation state backdooring a water plant? Correlational tools can’t tell. PILOT can, because physics doesn’t lie.</w:t>
            </w:r>
          </w:p>
        </w:tc>
      </w:tr>
    </w:tbl>
    <w:p>
      <w:pPr>
        <w:spacing w:after="200"/>
      </w:pPr>
    </w:p>
    <w:p>
      <w:pPr>
        <w:spacing w:after="160"/>
      </w:pPr>
      <w:r>
        <w:rPr>
          <w:b/>
          <w:bCs/>
        </w:rPr>
        <w:t xml:space="preserve">Key principle: </w:t>
      </w:r>
      <w:r>
        <w:t xml:space="preserve">PILOT does not replace existing cyber tools. It sits alongside them and verifies whether the data those tools depend on is true. No rip and replace. Severn Trent has invested heavily in its security stack; PILOT maximises that investment by adding a verification layer.</w:t>
      </w:r>
    </w:p>
    <w:p>
      <w:pPr>
        <w:pStyle w:val="Heading1"/>
      </w:pPr>
      <w:r>
        <w:t xml:space="preserve">Independent Validation</w:t>
      </w:r>
    </w:p>
    <w:p>
      <w:pPr>
        <w:spacing w:after="160"/>
      </w:pPr>
      <w:r>
        <w:t xml:space="preserve">PILOT’s approach has been independently validated through EU-funded research in real-world OT environments: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36"/>
                <w:szCs w:val="36"/>
              </w:rPr>
              <w:t xml:space="preserve">74%</w:t>
            </w:r>
          </w:p>
          <w:p>
            <w:pPr>
              <w:jc w:val="center"/>
            </w:pPr>
            <w:r>
              <w:rPr>
                <w:color w:val="FFFFFF"/>
                <w:sz w:val="20"/>
                <w:szCs w:val="20"/>
              </w:rPr>
              <w:t xml:space="preserve">Fewer false positives</w:t>
            </w:r>
          </w:p>
        </w:tc>
        <w:tc>
          <w:tcPr>
            <w:tcW w:type="dxa" w:w="3009"/>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36"/>
                <w:szCs w:val="36"/>
              </w:rPr>
              <w:t xml:space="preserve">83%</w:t>
            </w:r>
          </w:p>
          <w:p>
            <w:pPr>
              <w:jc w:val="center"/>
            </w:pPr>
            <w:r>
              <w:rPr>
                <w:color w:val="FFFFFF"/>
                <w:sz w:val="20"/>
                <w:szCs w:val="20"/>
              </w:rPr>
              <w:t xml:space="preserve">Stealth attack detection</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36"/>
                <w:szCs w:val="36"/>
              </w:rPr>
              <w:t xml:space="preserve">&lt;4ms</w:t>
            </w:r>
          </w:p>
          <w:p>
            <w:pPr>
              <w:jc w:val="center"/>
            </w:pPr>
            <w:r>
              <w:rPr>
                <w:color w:val="FFFFFF"/>
                <w:sz w:val="20"/>
                <w:szCs w:val="20"/>
              </w:rPr>
              <w:t xml:space="preserve">Latency</w:t>
            </w:r>
          </w:p>
        </w:tc>
      </w:tr>
    </w:tbl>
    <w:p>
      <w:pPr>
        <w:spacing w:after="200"/>
      </w:pPr>
    </w:p>
    <w:p>
      <w:pPr>
        <w:spacing w:after="200"/>
      </w:pPr>
      <w:r>
        <w:t xml:space="preserve">Built on NVIDIA platforms (BlueField for trusted telemetry capture, Morpheus for GPU-accelerated analytics, Omniverse for simulation). NVIDIA Inception member. Patent-pending IP.</w:t>
      </w:r>
    </w:p>
    <w:p>
      <w:pPr>
        <w:pStyle w:val="Heading1"/>
      </w:pPr>
      <w:r>
        <w:t xml:space="preserve">Why This Is Relevant to Severn Trent Specifically</w:t>
      </w:r>
    </w:p>
    <w:p>
      <w:pPr>
        <w:spacing w:after="160"/>
      </w:pPr>
      <w:r>
        <w:t xml:space="preserve">Severn Trent is in a distinctive position among UK water companies:</w:t>
      </w:r>
    </w:p>
    <w:p>
      <w:pPr>
        <w:pStyle w:val="ListParagraph"/>
        <w:numPr>
          <w:ilvl w:val="0"/>
          <w:numId w:val="3"/>
        </w:numPr>
        <w:spacing w:after="100"/>
      </w:pPr>
      <w:r>
        <w:rPr>
          <w:b/>
          <w:bCs/>
        </w:rPr>
        <w:t xml:space="preserve">You are already investing in digital twins for operational optimisation </w:t>
      </w:r>
      <w:r>
        <w:t xml:space="preserve">(Strongford Net Zero Hub, AI-enabled wastewater management at Alfreton, 33-site digital twin rollout). PILOT extends the digital twin concept from operational efficiency into cybersecurity — using the same physics-based modelling principles you are already adopting.</w:t>
      </w:r>
    </w:p>
    <w:p>
      <w:pPr>
        <w:pStyle w:val="ListParagraph"/>
        <w:numPr>
          <w:ilvl w:val="0"/>
          <w:numId w:val="3"/>
        </w:numPr>
        <w:spacing w:after="100"/>
      </w:pPr>
      <w:r>
        <w:rPr>
          <w:b/>
          <w:bCs/>
        </w:rPr>
        <w:t xml:space="preserve">Your £70m cyber programme includes a Zero Trust model. </w:t>
      </w:r>
      <w:r>
        <w:t xml:space="preserve">PILOT takes Zero Trust to its logical conclusion: trust nothing, not even your own telemetry. We call this </w:t>
      </w:r>
      <w:r>
        <w:rPr>
          <w:i/>
          <w:iCs/>
        </w:rPr>
        <w:t xml:space="preserve">Zero-Trust, Extended</w:t>
      </w:r>
      <w:r>
        <w:t xml:space="preserve">.</w:t>
      </w:r>
    </w:p>
    <w:p>
      <w:pPr>
        <w:pStyle w:val="ListParagraph"/>
        <w:numPr>
          <w:ilvl w:val="0"/>
          <w:numId w:val="3"/>
        </w:numPr>
        <w:spacing w:after="100"/>
      </w:pPr>
      <w:r>
        <w:rPr>
          <w:b/>
          <w:bCs/>
        </w:rPr>
        <w:t xml:space="preserve">You operate critical national infrastructure serving 4.6 million people. </w:t>
      </w:r>
      <w:r>
        <w:t xml:space="preserve">A compromised treatment or distribution system doesn’t just steal data — it creates a public health risk. The physical consequences of OT compromise in water are uniquely severe.</w:t>
      </w:r>
    </w:p>
    <w:p>
      <w:pPr>
        <w:pStyle w:val="ListParagraph"/>
        <w:numPr>
          <w:ilvl w:val="0"/>
          <w:numId w:val="3"/>
        </w:numPr>
        <w:spacing w:after="100"/>
      </w:pPr>
      <w:r>
        <w:rPr>
          <w:b/>
          <w:bCs/>
        </w:rPr>
        <w:t xml:space="preserve">You are subject to NIS Regulations, the incoming Cyber Security and Resilience Bill, and Ofwat PR25. </w:t>
      </w:r>
      <w:r>
        <w:t xml:space="preserve">PILOT provides measurable, auditable detection metrics that move beyond compliance tick-boxes to demonstrable capability — exactly what regulators are now demanding.</w:t>
      </w:r>
    </w:p>
    <w:p>
      <w:pPr>
        <w:pStyle w:val="ListParagraph"/>
        <w:numPr>
          <w:ilvl w:val="0"/>
          <w:numId w:val="3"/>
        </w:numPr>
        <w:spacing w:after="200"/>
      </w:pPr>
      <w:r>
        <w:rPr>
          <w:b/>
          <w:bCs/>
        </w:rPr>
        <w:t xml:space="preserve">Severn Trent has an all-encompassing Cyber department </w:t>
      </w:r>
      <w:r>
        <w:t xml:space="preserve">with dedicated OT expertise and is one of the only FTSE 100 companies outside London to maintain this breadth. This means you have the in-house capability to evaluate and deploy a technology like PILOT properly.</w:t>
      </w:r>
    </w:p>
    <w:p>
      <w:pPr>
        <w:pStyle w:val="Heading1"/>
      </w:pPr>
      <w:r>
        <w:t xml:space="preserve">Market Context: Why This Matters Now</w:t>
      </w:r>
    </w:p>
    <w:p>
      <w:pPr>
        <w:spacing w:after="160"/>
      </w:pPr>
      <w:r>
        <w:t xml:space="preserve">JPMorgan Chase’s Global CISO published an open letter calling for “continuous, demonstrable evidence that controls are working effectively.” Their Chief of AI Research has built AI-powered digital twins for cybersecurity monitoring 19,000 employees. His conclusion: correlational AI models alone are not sufficient.</w:t>
      </w:r>
    </w:p>
    <w:p>
      <w:pPr>
        <w:spacing w:after="160"/>
      </w:pPr>
      <w:r>
        <w:t xml:space="preserve">CrowdStrike’s 2026 Global Threat Report confirms: 82% of attacks contain no malware; 75% of cloud attacks use authorised credentials. These are attacks designed to look normal to every correlational tool in the stack.</w:t>
      </w:r>
    </w:p>
    <w:p>
      <w:pPr>
        <w:spacing w:after="200"/>
      </w:pPr>
      <w:r>
        <w:t xml:space="preserve">KC O’Brien, CISO at Paramount, independently validated PILOT’s positioning after detailed technical review: </w:t>
      </w:r>
      <w:r>
        <w:rPr>
          <w:i/>
          <w:iCs/>
        </w:rPr>
        <w:t xml:space="preserve">“Critical infrastructure seems to be the sweet spot for impossible or implausible physical state validation.”</w:t>
      </w:r>
    </w:p>
    <w:p>
      <w:pPr>
        <w:pStyle w:val="Heading1"/>
      </w:pPr>
      <w:r>
        <w:t xml:space="preserve">The Team</w:t>
      </w:r>
    </w:p>
    <w:p>
      <w:pPr>
        <w:spacing w:after="160"/>
      </w:pPr>
      <w:r>
        <w:t xml:space="preserve">DTS is led by a team with deep domain expertise across cybersecurity, defence, and operational technology. The founding team includes the former CEO of NVIDIA US Federal. The technology is EU-validated, patent-protected, and built on NVIDIA’s enterprise platform stack.</w:t>
      </w:r>
    </w:p>
    <w:p>
      <w:pPr>
        <w:spacing w:after="200"/>
      </w:pPr>
      <w:r>
        <w:t xml:space="preserve">DTS is a member of the NVIDIA Inception programme and is actively engaging with UK policymakers on the Cyber Security and Resilience Bill through the All-Party Parliamentary Group on Cybersecurity.</w:t>
      </w:r>
    </w:p>
    <w:p>
      <w:pPr>
        <w:pStyle w:val="Heading1"/>
      </w:pPr>
      <w:r>
        <w:t xml:space="preserve">Suggested Next Steps</w:t>
      </w:r>
    </w:p>
    <w:p>
      <w:pPr>
        <w:spacing w:after="160"/>
      </w:pPr>
      <w:r>
        <w:t xml:space="preserve">We would welcome a conversation with Severn Trent’s cybersecurity leadership to explore whether PILOT’s approach to causal verification could complement your existing security architecture. We envisage a phased approach:</w:t>
      </w:r>
    </w:p>
    <w:p>
      <w:pPr>
        <w:pStyle w:val="ListParagraph"/>
        <w:numPr>
          <w:ilvl w:val="0"/>
          <w:numId w:val="4"/>
        </w:numPr>
        <w:spacing w:after="100"/>
      </w:pPr>
      <w:r>
        <w:rPr>
          <w:b/>
          <w:bCs/>
        </w:rPr>
        <w:t xml:space="preserve">Introductory technical briefing </w:t>
      </w:r>
      <w:r>
        <w:t xml:space="preserve">(30 minutes) with your CISO / Deputy CISO and OT security leads to walk through the technology and the water-specific use cases.</w:t>
      </w:r>
    </w:p>
    <w:p>
      <w:pPr>
        <w:pStyle w:val="ListParagraph"/>
        <w:numPr>
          <w:ilvl w:val="0"/>
          <w:numId w:val="4"/>
        </w:numPr>
        <w:spacing w:after="100"/>
      </w:pPr>
      <w:r>
        <w:rPr>
          <w:b/>
          <w:bCs/>
        </w:rPr>
        <w:t xml:space="preserve">Joint scoping workshop </w:t>
      </w:r>
      <w:r>
        <w:t xml:space="preserve">to identify which Severn Trent facility or process (treatment, pumping, distribution) would be most suitable for an initial evaluation.</w:t>
      </w:r>
    </w:p>
    <w:p>
      <w:pPr>
        <w:pStyle w:val="ListParagraph"/>
        <w:numPr>
          <w:ilvl w:val="0"/>
          <w:numId w:val="4"/>
        </w:numPr>
        <w:spacing w:after="200"/>
      </w:pPr>
      <w:r>
        <w:rPr>
          <w:b/>
          <w:bCs/>
        </w:rPr>
        <w:t xml:space="preserve">Proof of Concept </w:t>
      </w:r>
      <w:r>
        <w:t xml:space="preserve">at a single site, demonstrating PILOT’s detection capabilities against Severn Trent’s actual operational data and threat profile.</w:t>
      </w:r>
    </w:p>
    <w:p>
      <w:pPr>
        <w:pBdr>
          <w:top w:val="single" w:color="2E75B6" w:sz="2" w:space="8"/>
        </w:pBdr>
        <w:spacing w:after="100" w:before="200"/>
      </w:pPr>
      <w:r>
        <w:rPr>
          <w:b/>
          <w:bCs/>
          <w:color w:val="1B3A5C"/>
          <w:sz w:val="24"/>
          <w:szCs w:val="24"/>
        </w:rPr>
        <w:t xml:space="preserve">Contact</w:t>
      </w:r>
    </w:p>
    <w:p>
      <w:pPr>
        <w:spacing w:after="60"/>
      </w:pPr>
      <w:r>
        <w:rPr>
          <w:b/>
          <w:bCs/>
        </w:rPr>
        <w:t xml:space="preserve">Gareth Hughes</w:t>
      </w:r>
      <w:r>
        <w:t xml:space="preserve">  |  Head of Corporate Development</w:t>
      </w:r>
    </w:p>
    <w:p>
      <w:pPr>
        <w:spacing w:after="60"/>
      </w:pPr>
      <w:r>
        <w:t xml:space="preserve">Digital Twins Solutions</w:t>
      </w:r>
    </w:p>
    <w:p>
      <w:pPr>
        <w:spacing w:after="60"/>
      </w:pPr>
      <w:r>
        <w:t xml:space="preserve">gareth@digitaltwinssolutions.com  |  +44 (0) 7500 960493</w:t>
      </w:r>
    </w:p>
    <w:p>
      <w:pPr>
        <w:spacing w:after="200"/>
      </w:pPr>
    </w:p>
    <w:p>
      <w:pPr>
        <w:spacing w:after="100"/>
        <w:jc w:val="center"/>
      </w:pPr>
      <w:r>
        <w:rPr>
          <w:i/>
          <w:iCs/>
          <w:color w:val="666666"/>
          <w:sz w:val="18"/>
          <w:szCs w:val="18"/>
        </w:rPr>
        <w:t xml:space="preserve">STRICTLY PRIVATE &amp; CONFIDENTIAL — © Digital Twins Solutions LLC, 2026</w:t>
      </w:r>
    </w:p>
    <w:p>
      <w:pPr>
        <w:jc w:val="center"/>
      </w:pPr>
      <w:r>
        <w:rPr>
          <w:i/>
          <w:iCs/>
          <w:color w:val="666666"/>
          <w:sz w:val="18"/>
          <w:szCs w:val="18"/>
        </w:rPr>
        <w:t xml:space="preserve">All Rights Reserved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 Digital Twins Solutions LLC, 2026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Netsapien™ PILOT  |  Severn Trent Water  |  Strictly Private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2026-04-03T08:22:08.271Z</dcterms:created>
  <dcterms:modified xsi:type="dcterms:W3CDTF">2026-04-03T08:22:08.272Z</dcterms:modified>
</cp:coreProperties>
</file>

<file path=docProps/custom.xml><?xml version="1.0" encoding="utf-8"?>
<Properties xmlns="http://schemas.openxmlformats.org/officeDocument/2006/custom-properties" xmlns:vt="http://schemas.openxmlformats.org/officeDocument/2006/docPropsVTypes"/>
</file>