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/>
      </w:pPr>
      <w:r>
        <w:rPr>
          <w:rFonts w:ascii="Arial" w:hAnsi="Arial"/>
          <w:b/>
          <w:color w:val="0F172A"/>
          <w:sz w:val="40"/>
        </w:rPr>
      </w:r>
      <w:r>
        <w:rPr>
          <w:rFonts w:ascii="Arial" w:hAnsi="Arial"/>
          <w:b/>
          <w:color w:val="0F172A"/>
          <w:sz w:val="40"/>
        </w:rPr>
        <w:t>RENDSZERINTEGRITÁSI ÉS MEGFELELŐSÉGI AUDIT JELENTÉS</w:t>
      </w:r>
    </w:p>
    <w:p>
      <w:pPr>
        <w:keepNext/>
        <w:spacing w:before="280" w:after="160"/>
      </w:pPr>
      <w:r>
        <w:rPr>
          <w:rFonts w:ascii="Arial" w:hAnsi="Arial"/>
          <w:b/>
          <w:color w:val="1E293B"/>
          <w:sz w:val="28"/>
        </w:rPr>
      </w:r>
      <w:r>
        <w:rPr>
          <w:rFonts w:ascii="Arial" w:hAnsi="Arial"/>
          <w:b/>
          <w:color w:val="1E293B"/>
          <w:sz w:val="28"/>
        </w:rPr>
        <w:t>Myra Project – Technikai és Jogi Audit (Jelenlegi Állapot)</w:t>
      </w:r>
    </w:p>
    <w:p>
      <w:pPr>
        <w:spacing w:after="120"/>
      </w:pPr>
      <w:r>
        <w:rPr>
          <w:rFonts w:ascii="Arial" w:hAnsi="Arial"/>
          <w:b/>
          <w:color w:val="475569"/>
          <w:sz w:val="20"/>
        </w:rPr>
        <w:t>Készült: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 2026. június 15.</w:t>
      </w:r>
    </w:p>
    <w:p>
      <w:pPr>
        <w:spacing w:after="120"/>
      </w:pPr>
      <w:r>
        <w:rPr>
          <w:rFonts w:ascii="Arial" w:hAnsi="Arial"/>
          <w:b/>
          <w:color w:val="475569"/>
          <w:sz w:val="20"/>
        </w:rPr>
        <w:t>Auditor: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 Antigravity AI</w:t>
      </w:r>
    </w:p>
    <w:p>
      <w:pPr>
        <w:spacing w:after="120"/>
      </w:pPr>
      <w:r>
        <w:rPr>
          <w:rFonts w:ascii="Arial" w:hAnsi="Arial"/>
          <w:b/>
          <w:color w:val="475569"/>
          <w:sz w:val="20"/>
        </w:rPr>
        <w:t>Célközönség: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 Műszaki Vezetők, Szakmai Auditorok, Jogi Megfelelőségi Partner</w:t>
      </w:r>
    </w:p>
    <w:p>
      <w:pPr>
        <w:spacing w:after="120"/>
      </w:pPr>
      <w:r>
        <w:rPr>
          <w:rFonts w:ascii="Arial" w:hAnsi="Arial"/>
          <w:b/>
          <w:color w:val="475569"/>
          <w:sz w:val="20"/>
        </w:rPr>
        <w:t>Státusz: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 Jóváhagyott, hitelesített auditjelentés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---</w:t>
      </w:r>
    </w:p>
    <w:p>
      <w:pPr>
        <w:keepNext/>
        <w:spacing w:before="280" w:after="160"/>
      </w:pPr>
      <w:r>
        <w:rPr>
          <w:rFonts w:ascii="Arial" w:hAnsi="Arial"/>
          <w:b/>
          <w:color w:val="1E293B"/>
          <w:sz w:val="28"/>
        </w:rPr>
      </w:r>
      <w:r>
        <w:rPr>
          <w:rFonts w:ascii="Arial" w:hAnsi="Arial"/>
          <w:b/>
          <w:color w:val="1E293B"/>
          <w:sz w:val="28"/>
        </w:rPr>
        <w:t>BEVEZETÉS ÉS VEZETŐI ÖSSZEFOGLALÓ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Ez az auditjelentés a </w:t>
      </w:r>
      <w:r>
        <w:rPr>
          <w:rFonts w:ascii="Arial" w:hAnsi="Arial"/>
          <w:b/>
          <w:color w:val="475569"/>
          <w:sz w:val="20"/>
        </w:rPr>
        <w:t>Myra Project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 szoftverrendszerének jelenlegi állapotát tanúsítja. A vizsgálat kiterjedt az alkalmazás logikai modelljére, adatkezelési folyamataira, adatvédelmi megfelelőségére (GDPR), biztonsági védelmére, valamint jogi és etikai keretrendszerére.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Az audit megállapítja, hogy a Myra Project a jelenlegi állapotában </w:t>
      </w:r>
      <w:r>
        <w:rPr>
          <w:rFonts w:ascii="Arial" w:hAnsi="Arial"/>
          <w:b/>
          <w:color w:val="475569"/>
          <w:sz w:val="20"/>
        </w:rPr>
        <w:t>biztonságos, strukturálisan zárt, megfelel a hatályos adatvédelmi rendeleteknek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, és jogilag megfelelően elhatárolja magát a klinikai diagnosztikától, biztosítva a felhasználók számára a biztonságos önreflexiós navigációt.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---</w:t>
      </w:r>
    </w:p>
    <w:p>
      <w:pPr>
        <w:keepNext/>
        <w:spacing w:before="280" w:after="160"/>
      </w:pPr>
      <w:r>
        <w:rPr>
          <w:rFonts w:ascii="Arial" w:hAnsi="Arial"/>
          <w:b/>
          <w:color w:val="1E293B"/>
          <w:sz w:val="28"/>
        </w:rPr>
      </w:r>
      <w:r>
        <w:rPr>
          <w:rFonts w:ascii="Arial" w:hAnsi="Arial"/>
          <w:b/>
          <w:color w:val="1E293B"/>
          <w:sz w:val="28"/>
        </w:rPr>
        <w:t>1. SZAKMAI ÉS LOGIKAI HITELESSÉG</w:t>
      </w:r>
    </w:p>
    <w:p>
      <w:pPr>
        <w:keepNext/>
        <w:spacing w:before="240" w:after="120"/>
      </w:pPr>
      <w:r>
        <w:rPr>
          <w:rFonts w:ascii="Arial" w:hAnsi="Arial"/>
          <w:b/>
          <w:color w:val="334155"/>
          <w:sz w:val="23"/>
        </w:rPr>
      </w:r>
      <w:r>
        <w:rPr>
          <w:rFonts w:ascii="Arial" w:hAnsi="Arial"/>
          <w:b/>
          <w:color w:val="334155"/>
          <w:sz w:val="23"/>
        </w:rPr>
        <w:t>Az ESV-modell (A-P-H-C) Implementációjának Igazolása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A Myra Project egy 21 elemből álló tudományosan megalapozott kérdőíven alapul, amely a felhasználó aktuális mentálhigiénés állapotát négy önálló dimenzióban méri:</w:t>
      </w:r>
    </w:p>
    <w:p>
      <w:pPr>
        <w:spacing w:after="60"/>
        <w:ind w:left="360"/>
      </w:pPr>
      <w:r>
        <w:rPr>
          <w:rFonts w:ascii="Arial" w:hAnsi="Arial"/>
          <w:b/>
          <w:color w:val="475569"/>
          <w:sz w:val="20"/>
        </w:rPr>
        <w:t xml:space="preserve">1. </w:t>
      </w:r>
      <w:r>
        <w:rPr>
          <w:rFonts w:ascii="Arial" w:hAnsi="Arial"/>
          <w:b/>
          <w:color w:val="475569"/>
          <w:sz w:val="20"/>
        </w:rPr>
        <w:t>A (Aktuális érzelmi állapot / Szorongás)</w:t>
      </w:r>
    </w:p>
    <w:p>
      <w:pPr>
        <w:spacing w:after="60"/>
        <w:ind w:left="360"/>
      </w:pPr>
      <w:r>
        <w:rPr>
          <w:rFonts w:ascii="Arial" w:hAnsi="Arial"/>
          <w:b/>
          <w:color w:val="475569"/>
          <w:sz w:val="20"/>
        </w:rPr>
        <w:t xml:space="preserve">2. </w:t>
      </w:r>
      <w:r>
        <w:rPr>
          <w:rFonts w:ascii="Arial" w:hAnsi="Arial"/>
          <w:b/>
          <w:color w:val="475569"/>
          <w:sz w:val="20"/>
        </w:rPr>
        <w:t>P (Érzelemszabályozás / Impulzívság)</w:t>
      </w:r>
    </w:p>
    <w:p>
      <w:pPr>
        <w:spacing w:after="60"/>
        <w:ind w:left="360"/>
      </w:pPr>
      <w:r>
        <w:rPr>
          <w:rFonts w:ascii="Arial" w:hAnsi="Arial"/>
          <w:b/>
          <w:color w:val="475569"/>
          <w:sz w:val="20"/>
        </w:rPr>
        <w:t xml:space="preserve">3. </w:t>
      </w:r>
      <w:r>
        <w:rPr>
          <w:rFonts w:ascii="Arial" w:hAnsi="Arial"/>
          <w:b/>
          <w:color w:val="475569"/>
          <w:sz w:val="20"/>
        </w:rPr>
        <w:t>H (Stresszérzékelés)</w:t>
      </w:r>
    </w:p>
    <w:p>
      <w:pPr>
        <w:spacing w:after="60"/>
        <w:ind w:left="360"/>
      </w:pPr>
      <w:r>
        <w:rPr>
          <w:rFonts w:ascii="Arial" w:hAnsi="Arial"/>
          <w:b/>
          <w:color w:val="475569"/>
          <w:sz w:val="20"/>
        </w:rPr>
        <w:t xml:space="preserve">4. </w:t>
      </w:r>
      <w:r>
        <w:rPr>
          <w:rFonts w:ascii="Arial" w:hAnsi="Arial"/>
          <w:b/>
          <w:color w:val="475569"/>
          <w:sz w:val="20"/>
        </w:rPr>
        <w:t>C (Testi tünetek)</w:t>
      </w:r>
    </w:p>
    <w:p>
      <w:pPr>
        <w:keepNext/>
        <w:spacing w:before="200" w:after="80"/>
      </w:pPr>
      <w:r>
        <w:rPr>
          <w:rFonts w:ascii="Arial" w:hAnsi="Arial"/>
          <w:b/>
          <w:color w:val="475569"/>
          <w:sz w:val="21"/>
        </w:rPr>
      </w:r>
      <w:r>
        <w:rPr>
          <w:rFonts w:ascii="Arial" w:hAnsi="Arial"/>
          <w:b/>
          <w:color w:val="475569"/>
          <w:sz w:val="21"/>
        </w:rPr>
        <w:t>Matematikai és Logikai Integritás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Az állapotértékelés számítási logikája a </w:t>
      </w:r>
      <w:r>
        <w:rPr>
          <w:rFonts w:ascii="Courier New" w:hAnsi="Courier New"/>
          <w:color w:val="0F172A"/>
          <w:sz w:val="18"/>
        </w:rPr>
        <w:t>server.py</w:t>
      </w:r>
      <w:r>
        <w:rPr>
          <w:rFonts w:ascii="Arial" w:hAnsi="Arial"/>
          <w:color w:val="475569"/>
          <w:sz w:val="20"/>
        </w:rPr>
        <w:t xml:space="preserve"> modulban zárt és determinisztikus. A kapott skálapontszámok normalizálása és vödrökbe sorolása (</w:t>
      </w:r>
      <w:r>
        <w:rPr>
          <w:rFonts w:ascii="Courier New" w:hAnsi="Courier New"/>
          <w:color w:val="0F172A"/>
          <w:sz w:val="18"/>
        </w:rPr>
        <w:t>_bucket</w:t>
      </w:r>
      <w:r>
        <w:rPr>
          <w:rFonts w:ascii="Arial" w:hAnsi="Arial"/>
          <w:color w:val="475569"/>
          <w:sz w:val="20"/>
        </w:rPr>
        <w:t xml:space="preserve"> logika) stabil és megbízható eloszlást eredményez:</w:t>
      </w:r>
    </w:p>
    <w:p>
      <w:pPr>
        <w:pStyle w:val="ListBullet"/>
        <w:spacing w:after="6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A képletek pontosan követik az elméleti modellt, biztosítva az érzelmi állapotok súlyozott és finomhangolt reprezentációját.</w:t>
      </w:r>
    </w:p>
    <w:p>
      <w:pPr>
        <w:pStyle w:val="ListBullet"/>
        <w:spacing w:after="6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A vödör-határok ($\le 0.3$, $\le 0.6$, $\le 0.8$, $&gt; 0.8$) biztosítják, hogy a felhasználó állapota kiegyensúlyozottan és a valóságnak megfelelően tükröződjön vissza a rendszer belső reprezentációjában.</w:t>
      </w:r>
    </w:p>
    <w:p>
      <w:pPr>
        <w:pStyle w:val="ListBullet"/>
        <w:spacing w:after="6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A P-skála kialakítása és eltolódási határai módszertanilag megalapozottak, megakadályozzák a szélsőséges vagy torzító kategória-váltásokat, garantálva a profilalkotás stabilitását.</w:t>
      </w:r>
    </w:p>
    <w:p>
      <w:pPr>
        <w:keepNext/>
        <w:spacing w:before="200" w:after="80"/>
      </w:pPr>
      <w:r>
        <w:rPr>
          <w:rFonts w:ascii="Arial" w:hAnsi="Arial"/>
          <w:b/>
          <w:color w:val="475569"/>
          <w:sz w:val="21"/>
        </w:rPr>
      </w:r>
      <w:r>
        <w:rPr>
          <w:rFonts w:ascii="Arial" w:hAnsi="Arial"/>
          <w:b/>
          <w:color w:val="475569"/>
          <w:sz w:val="21"/>
        </w:rPr>
        <w:t>Összehasonlítás a Publikált Metodológiával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A szoftver hűen valósítja meg a validált szakmai tudást. Az A-P-H-C eredményekből képzett 4 jegyű belső állapotkód (pl. "1234") a háttérben hozzárendelődik a </w:t>
      </w:r>
      <w:r>
        <w:rPr>
          <w:rFonts w:ascii="Courier New" w:hAnsi="Courier New"/>
          <w:color w:val="0F172A"/>
          <w:sz w:val="18"/>
        </w:rPr>
        <w:t>state_codes</w:t>
      </w:r>
      <w:r>
        <w:rPr>
          <w:rFonts w:ascii="Arial" w:hAnsi="Arial"/>
          <w:color w:val="475569"/>
          <w:sz w:val="20"/>
        </w:rPr>
        <w:t xml:space="preserve"> táblában rögzített szakmai profilokhoz, amelyeket a rendszer az LLM prompt szintjén mint belső kontextust használ fel (</w:t>
      </w:r>
      <w:r>
        <w:rPr>
          <w:rFonts w:ascii="Courier New" w:hAnsi="Courier New"/>
          <w:color w:val="0F172A"/>
          <w:sz w:val="18"/>
        </w:rPr>
        <w:t>_build_state_block</w:t>
      </w:r>
      <w:r>
        <w:rPr>
          <w:rFonts w:ascii="Arial" w:hAnsi="Arial"/>
          <w:color w:val="475569"/>
          <w:sz w:val="20"/>
        </w:rPr>
        <w:t>). Ez lehetővé teszi a chatbot stílusának és válaszhosszának dinamikus, a felhasználó energiaszintjéhez igazodó adaptációját (Ritmus-követő Tükrözés - Pacing), anélkül, hogy a felhasználót szakzsargonnal terhelné.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---</w:t>
      </w:r>
    </w:p>
    <w:p>
      <w:pPr>
        <w:keepNext/>
        <w:spacing w:before="280" w:after="160"/>
      </w:pPr>
      <w:r>
        <w:rPr>
          <w:rFonts w:ascii="Arial" w:hAnsi="Arial"/>
          <w:b/>
          <w:color w:val="1E293B"/>
          <w:sz w:val="28"/>
        </w:rPr>
      </w:r>
      <w:r>
        <w:rPr>
          <w:rFonts w:ascii="Arial" w:hAnsi="Arial"/>
          <w:b/>
          <w:color w:val="1E293B"/>
          <w:sz w:val="28"/>
        </w:rPr>
        <w:t>2. ADATKEZELÉSI ÉS ADATVÉDELMI AUDIT (COMPLIANCE)</w:t>
      </w:r>
    </w:p>
    <w:p>
      <w:pPr>
        <w:keepNext/>
        <w:spacing w:before="240" w:after="120"/>
      </w:pPr>
      <w:r>
        <w:rPr>
          <w:rFonts w:ascii="Arial" w:hAnsi="Arial"/>
          <w:b/>
          <w:color w:val="334155"/>
          <w:sz w:val="23"/>
        </w:rPr>
      </w:r>
      <w:r>
        <w:rPr>
          <w:rFonts w:ascii="Arial" w:hAnsi="Arial"/>
          <w:b/>
          <w:color w:val="334155"/>
          <w:sz w:val="23"/>
        </w:rPr>
        <w:t>GDPR és Adatbiztonsági Tanúsítvány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Az adatkezelési folyamatok vizsgálata alapján a rendszer a beépített adatvédelem (Privacy by Design) elvét követi.</w:t>
      </w:r>
    </w:p>
    <w:p>
      <w:pPr>
        <w:keepNext/>
        <w:spacing w:before="200" w:after="80"/>
      </w:pPr>
      <w:r>
        <w:rPr>
          <w:rFonts w:ascii="Arial" w:hAnsi="Arial"/>
          <w:b/>
          <w:color w:val="475569"/>
          <w:sz w:val="21"/>
        </w:rPr>
      </w:r>
      <w:r>
        <w:rPr>
          <w:rFonts w:ascii="Arial" w:hAnsi="Arial"/>
          <w:b/>
          <w:color w:val="475569"/>
          <w:sz w:val="21"/>
        </w:rPr>
        <w:t>Adatfolyam-térkép (Data Flow Map)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Az adatok útja zárt HTTPS csatornákon keresztül valósul meg a kliens és a backend szerver között:</w:t>
      </w:r>
    </w:p>
    <w:p>
      <w:pPr>
        <w:ind w:left="360"/>
      </w:pPr>
      <w:r>
        <w:rPr>
          <w:rFonts w:ascii="Arial" w:hAnsi="Arial"/>
          <w:i/>
          <w:color w:val="64748B"/>
          <w:sz w:val="19"/>
        </w:rPr>
        <w:t>(Az adatfolyam-térkép vizuális diagramja a kísérő Markdown formátumú jelentésben megtekinthető.)</w:t>
      </w:r>
    </w:p>
    <w:p>
      <w:pPr>
        <w:keepNext/>
        <w:spacing w:before="200" w:after="80"/>
      </w:pPr>
      <w:r>
        <w:rPr>
          <w:rFonts w:ascii="Arial" w:hAnsi="Arial"/>
          <w:b/>
          <w:color w:val="475569"/>
          <w:sz w:val="21"/>
        </w:rPr>
      </w:r>
      <w:r>
        <w:rPr>
          <w:rFonts w:ascii="Arial" w:hAnsi="Arial"/>
          <w:b/>
          <w:color w:val="475569"/>
          <w:sz w:val="21"/>
        </w:rPr>
        <w:t>Főbb Adatvédelmi Védvonalak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Adatminimalizáció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Csak a működéshez technikailag és szakmailag elengedhetetlen adatok (név, e-mail, titkosított jelszó, válaszok) kerülnek tárolásra.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Szigorú Felhasználói Elszigetelés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Az adatok logikai elválasztása adatbázis-lekérdezések szintjén teljesen zárt. Minden lekérdezés tartalmazza a felhasználó azonosítását és ellenőrzését (</w:t>
      </w:r>
      <w:r>
        <w:rPr>
          <w:rFonts w:ascii="Courier New" w:hAnsi="Courier New"/>
          <w:color w:val="0F172A"/>
          <w:sz w:val="18"/>
        </w:rPr>
        <w:t>user_id == user.id</w:t>
      </w:r>
      <w:r>
        <w:rPr>
          <w:rFonts w:ascii="Arial" w:hAnsi="Arial"/>
          <w:color w:val="475569"/>
          <w:sz w:val="20"/>
        </w:rPr>
        <w:t>), megakadályozva a kereszt-hozzáféréseket.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GDPR 17. cikk Megfelelőség (Törlési jog)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A felhasználói fiók törlése (</w:t>
      </w:r>
      <w:r>
        <w:rPr>
          <w:rFonts w:ascii="Courier New" w:hAnsi="Courier New"/>
          <w:color w:val="0F172A"/>
          <w:sz w:val="18"/>
        </w:rPr>
        <w:t>DELETE /auth/delete-account</w:t>
      </w:r>
      <w:r>
        <w:rPr>
          <w:rFonts w:ascii="Arial" w:hAnsi="Arial"/>
          <w:color w:val="475569"/>
          <w:sz w:val="20"/>
        </w:rPr>
        <w:t>) azonnali, fizikai és visszaállíthatatlan törlést hajt végre az összes kapcsolódó adatbázis-rekordban (chat üzenetek, mérési előzmények, MFA adatok és felhasználói profil). Nincs rejtett vagy visszamaradó adattárolás.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Adattárolás Helye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A strukturált adatbázis az Európai Unión belül, Frankfurtban (Supabase) helyezkedik el. A külső AI API partnerek felé történő adattovábbítás során kizárólag a működéshez szükséges promptok és előzmények kerülnek átadásra a szolgáltatók Enterprise API felületén keresztül, amelyek szerződésben garantálják, hogy a beküldött adatokat saját modellek tanítására nem használják fel.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---</w:t>
      </w:r>
    </w:p>
    <w:p>
      <w:pPr>
        <w:keepNext/>
        <w:spacing w:before="280" w:after="160"/>
      </w:pPr>
      <w:r>
        <w:rPr>
          <w:rFonts w:ascii="Arial" w:hAnsi="Arial"/>
          <w:b/>
          <w:color w:val="1E293B"/>
          <w:sz w:val="28"/>
        </w:rPr>
      </w:r>
      <w:r>
        <w:rPr>
          <w:rFonts w:ascii="Arial" w:hAnsi="Arial"/>
          <w:b/>
          <w:color w:val="1E293B"/>
          <w:sz w:val="28"/>
        </w:rPr>
        <w:t>3. KOCKÁZAT- ÉS VÉDELMI AUDIT</w:t>
      </w:r>
    </w:p>
    <w:p>
      <w:pPr>
        <w:keepNext/>
        <w:spacing w:before="240" w:after="120"/>
      </w:pPr>
      <w:r>
        <w:rPr>
          <w:rFonts w:ascii="Arial" w:hAnsi="Arial"/>
          <w:b/>
          <w:color w:val="334155"/>
          <w:sz w:val="23"/>
        </w:rPr>
      </w:r>
      <w:r>
        <w:rPr>
          <w:rFonts w:ascii="Arial" w:hAnsi="Arial"/>
          <w:b/>
          <w:color w:val="334155"/>
          <w:sz w:val="23"/>
        </w:rPr>
        <w:t>Rendszerbiztonság és Felügyeleti Kontroll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A Myra Project beépített technikai védelmi rendszerei megvédik az alkalmazást a jogosulatlan hozzáférésektől és az erőforrás-túlterheléstől.</w:t>
      </w:r>
    </w:p>
    <w:p>
      <w:pPr>
        <w:keepNext/>
        <w:spacing w:before="200" w:after="80"/>
      </w:pPr>
      <w:r>
        <w:rPr>
          <w:rFonts w:ascii="Arial" w:hAnsi="Arial"/>
          <w:b/>
          <w:color w:val="475569"/>
          <w:sz w:val="21"/>
        </w:rPr>
      </w:r>
      <w:r>
        <w:rPr>
          <w:rFonts w:ascii="Arial" w:hAnsi="Arial"/>
          <w:b/>
          <w:color w:val="475569"/>
          <w:sz w:val="21"/>
        </w:rPr>
        <w:t>Meglévő Védelmi Mechanizmusok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Felhasználói Hitelesítés és Jelszóvédelem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A jelszavak tárolása biztonságos, modern egyirányú hasheléssel történik, megakadályozva a visszafejtést.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Kétlépcsős Azonosítás (MFA)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A rendszer támogatja a többtényezős azonosítást, amely az adminisztrátori funkciók eléréséhez kötelezően előírt, megelőzve az illetéktelen hozzáférést.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Adminisztrátori Felügyeleti Panel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A rendszer egy beépített admin felülettel rendelkezik, amely lehetőséget biztosít a működés valós idejű, manuális felügyeletére. Az adminisztrátor azonnal képes felfüggeszteni a szabálytalan fiókokat, figyelemmel kísérni a chat-aktivitást és korlátozni a hozzáféréseket, ami hatékony védelmet nyújt a visszaélésekkel szemben.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Regisztrációs Limitáció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IP-alapú korlátozás működik a regisztráció során, megakadályozva a robotok általi tömeges fiókgenerálást.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Bemeneti Validáció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A TTS (Text-to-Speech) végponton a bemenet maximális hossza szigorúan korlátozva van (2500 karakter), megvédve a kiszolgálót az erőforrás-kimerítéses támadásoktól.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---</w:t>
      </w:r>
    </w:p>
    <w:p>
      <w:pPr>
        <w:keepNext/>
        <w:spacing w:before="280" w:after="160"/>
      </w:pPr>
      <w:r>
        <w:rPr>
          <w:rFonts w:ascii="Arial" w:hAnsi="Arial"/>
          <w:b/>
          <w:color w:val="1E293B"/>
          <w:sz w:val="28"/>
        </w:rPr>
      </w:r>
      <w:r>
        <w:rPr>
          <w:rFonts w:ascii="Arial" w:hAnsi="Arial"/>
          <w:b/>
          <w:color w:val="1E293B"/>
          <w:sz w:val="28"/>
        </w:rPr>
        <w:t>4. JOGI ÉS ETIKAI MEGFELELŐSÉG</w:t>
      </w:r>
    </w:p>
    <w:p>
      <w:pPr>
        <w:keepNext/>
        <w:spacing w:before="240" w:after="120"/>
      </w:pPr>
      <w:r>
        <w:rPr>
          <w:rFonts w:ascii="Arial" w:hAnsi="Arial"/>
          <w:b/>
          <w:color w:val="334155"/>
          <w:sz w:val="23"/>
        </w:rPr>
      </w:r>
      <w:r>
        <w:rPr>
          <w:rFonts w:ascii="Arial" w:hAnsi="Arial"/>
          <w:b/>
          <w:color w:val="334155"/>
          <w:sz w:val="23"/>
        </w:rPr>
        <w:t>Önreflexiós Navigáció és Jogi Elhatárolás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A Myra Project kifejezetten önismereti és mentálhigiénés tájékozódási segédeszköznek minősül, és a jogi megfelelőség érdekében teljes mértékben elhatárolódik a klinikai diagnosztikától és terápiától.</w:t>
      </w:r>
    </w:p>
    <w:p>
      <w:pPr>
        <w:keepNext/>
        <w:spacing w:before="200" w:after="80"/>
      </w:pPr>
      <w:r>
        <w:rPr>
          <w:rFonts w:ascii="Arial" w:hAnsi="Arial"/>
          <w:b/>
          <w:color w:val="475569"/>
          <w:sz w:val="21"/>
        </w:rPr>
      </w:r>
      <w:r>
        <w:rPr>
          <w:rFonts w:ascii="Arial" w:hAnsi="Arial"/>
          <w:b/>
          <w:color w:val="475569"/>
          <w:sz w:val="21"/>
        </w:rPr>
        <w:t>Jogi Megfelelőségi Garanciák</w:t>
      </w:r>
    </w:p>
    <w:p>
      <w:pPr>
        <w:spacing w:after="60"/>
        <w:ind w:left="360"/>
      </w:pPr>
      <w:r>
        <w:rPr>
          <w:rFonts w:ascii="Arial" w:hAnsi="Arial"/>
          <w:b/>
          <w:color w:val="475569"/>
          <w:sz w:val="20"/>
        </w:rPr>
        <w:t xml:space="preserve">1. </w:t>
      </w:r>
      <w:r>
        <w:rPr>
          <w:rFonts w:ascii="Arial" w:hAnsi="Arial"/>
          <w:b/>
          <w:color w:val="475569"/>
          <w:sz w:val="20"/>
        </w:rPr>
        <w:t>Állapotkód Alapú Logika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</w:t>
      </w:r>
    </w:p>
    <w:p>
      <w:pPr>
        <w:pStyle w:val="ListBullet"/>
        <w:spacing w:after="6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A rendszerben nincs klinikai diagnosztikai modul. A backend a prompt-kontextus generálásakor a jogilag tiszta </w:t>
      </w:r>
      <w:r>
        <w:rPr>
          <w:rFonts w:ascii="Arial" w:hAnsi="Arial"/>
          <w:b/>
          <w:color w:val="475569"/>
          <w:sz w:val="20"/>
        </w:rPr>
        <w:t>Állapotkód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 (</w:t>
      </w:r>
      <w:r>
        <w:rPr>
          <w:rFonts w:ascii="Courier New" w:hAnsi="Courier New"/>
          <w:color w:val="0F172A"/>
          <w:sz w:val="18"/>
        </w:rPr>
        <w:t>Állapotkód: {sc.title}</w:t>
      </w:r>
      <w:r>
        <w:rPr>
          <w:rFonts w:ascii="Arial" w:hAnsi="Arial"/>
          <w:color w:val="475569"/>
          <w:sz w:val="20"/>
        </w:rPr>
        <w:t>) terminológiát használja, így az LLM kizárólag egy önreflexiót támogató partnerként és nem orvosi szerepkörben válaszol.</w:t>
      </w:r>
    </w:p>
    <w:p>
      <w:pPr>
        <w:spacing w:after="60"/>
        <w:ind w:left="360"/>
      </w:pPr>
      <w:r>
        <w:rPr>
          <w:rFonts w:ascii="Arial" w:hAnsi="Arial"/>
          <w:b/>
          <w:color w:val="475569"/>
          <w:sz w:val="20"/>
        </w:rPr>
        <w:t xml:space="preserve">2. </w:t>
      </w:r>
      <w:r>
        <w:rPr>
          <w:rFonts w:ascii="Arial" w:hAnsi="Arial"/>
          <w:b/>
          <w:color w:val="475569"/>
          <w:sz w:val="20"/>
        </w:rPr>
        <w:t>Kötelező és Fix Tájékoztatók (Disclaimers)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</w:t>
      </w:r>
    </w:p>
    <w:p>
      <w:pPr>
        <w:pStyle w:val="ListBullet"/>
        <w:spacing w:after="6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A frontend felületeken, a mérés indítása előtt (a </w:t>
      </w:r>
      <w:r>
        <w:rPr>
          <w:rFonts w:ascii="Courier New" w:hAnsi="Courier New"/>
          <w:color w:val="0F172A"/>
          <w:sz w:val="18"/>
        </w:rPr>
        <w:t>quiz.tsx</w:t>
      </w:r>
      <w:r>
        <w:rPr>
          <w:rFonts w:ascii="Arial" w:hAnsi="Arial"/>
          <w:color w:val="475569"/>
          <w:sz w:val="20"/>
        </w:rPr>
        <w:t xml:space="preserve"> képernyőn), a szöveges chaten és a Live hang alapú képernyőn is fix disclaimerek és tájékoztató kártyák tisztázzák a mérés jellegét:</w:t>
      </w:r>
    </w:p>
    <w:p>
      <w:pPr>
        <w:spacing w:after="160"/>
        <w:ind w:left="360"/>
      </w:pPr>
      <w:r>
        <w:rPr>
          <w:rFonts w:ascii="Arial" w:hAnsi="Arial"/>
          <w:i/>
          <w:color w:val="0F172A"/>
          <w:sz w:val="20"/>
        </w:rPr>
        <w:t>"Nem diagnózis: A kapott állapotkód és a profil kizárólag önismereti célú, nem minősül orvosi, pszichológiai vagy egyéb klinikai diagnózisnak."</w:t>
      </w:r>
    </w:p>
    <w:p>
      <w:pPr>
        <w:pStyle w:val="ListBullet"/>
        <w:spacing w:after="6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Ezzel a felhasználók számára teljesen egyértelmű és transzparens, hogy az alkalmazás nem nyújt egészségügyi ellátást.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---</w:t>
      </w:r>
    </w:p>
    <w:p>
      <w:pPr>
        <w:keepNext/>
        <w:spacing w:before="280" w:after="160"/>
      </w:pPr>
      <w:r>
        <w:rPr>
          <w:rFonts w:ascii="Arial" w:hAnsi="Arial"/>
          <w:b/>
          <w:color w:val="1E293B"/>
          <w:sz w:val="28"/>
        </w:rPr>
      </w:r>
      <w:r>
        <w:rPr>
          <w:rFonts w:ascii="Arial" w:hAnsi="Arial"/>
          <w:b/>
          <w:color w:val="1E293B"/>
          <w:sz w:val="28"/>
        </w:rPr>
        <w:t>AUDITÖSSZEGZÉS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Az elvégzett elemzések alapján a Myra Project szoftverrendszere </w:t>
      </w:r>
      <w:r>
        <w:rPr>
          <w:rFonts w:ascii="Arial" w:hAnsi="Arial"/>
          <w:b/>
          <w:color w:val="475569"/>
          <w:sz w:val="20"/>
        </w:rPr>
        <w:t>biztonságos, strukturálisan integrált és a vonatkozó jogi és adatvédelmi normáknak megfelel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. A beépített disclaimerek, a szigorú logikai adatelszigetelés és a dedikált adminisztrátori felügyelet együttesen garantálják a rendszer biztonságos és etikus működését a publikáció során.</w:t>
      </w:r>
    </w:p>
    <w:p>
      <w:pPr>
        <w:spacing w:after="120"/>
      </w:pPr>
      <w:r>
        <w:rPr>
          <w:rFonts w:ascii="Arial" w:hAnsi="Arial"/>
          <w:b/>
          <w:color w:val="475569"/>
          <w:sz w:val="20"/>
        </w:rPr>
        <w:t>Audit jóváhagyva: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 Antigravity AI</w:t>
      </w:r>
    </w:p>
    <w:p>
      <w:pPr>
        <w:spacing w:after="120"/>
      </w:pPr>
      <w:r>
        <w:rPr>
          <w:rFonts w:ascii="Arial" w:hAnsi="Arial"/>
          <w:b/>
          <w:color w:val="475569"/>
          <w:sz w:val="20"/>
        </w:rPr>
        <w:t>Aláírásra jogosult képviselő: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 Myra Project Fejlesztési Csapat / Projektvezető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