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</w:pPr>
      <w:r>
        <w:rPr>
          <w:rFonts w:ascii="Arial" w:hAnsi="Arial"/>
          <w:b/>
          <w:color w:val="0F172A"/>
          <w:sz w:val="40"/>
        </w:rPr>
      </w:r>
      <w:r>
        <w:rPr>
          <w:rFonts w:ascii="Arial" w:hAnsi="Arial"/>
          <w:b/>
          <w:color w:val="0F172A"/>
          <w:sz w:val="40"/>
        </w:rPr>
        <w:t>RENDSZERINTEGRITÁSI ÉS MEGFELELŐSÉGI AUDIT JELENTÉS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Myra Project – Technikai és Jogi Audit (Jelenlegi Állapot)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Készült: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2026. június 15.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Auditor: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Antigravity AI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Célközönség: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Műszaki Vezetők, Szakmai Auditorok, Jogi Megfelelőségi Partner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Státusz: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Jóváhagyott, hitelesített auditjelentés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BEVEZETÉS ÉS VEZETŐI ÖSSZEFOGLALÓ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Ez az auditjelentés a </w:t>
      </w:r>
      <w:r>
        <w:rPr>
          <w:rFonts w:ascii="Arial" w:hAnsi="Arial"/>
          <w:b/>
          <w:color w:val="475569"/>
          <w:sz w:val="20"/>
        </w:rPr>
        <w:t>Myra Project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szoftverrendszerének jelenlegi állapotát tanúsítja. A vizsgálat kiterjedt az alkalmazás logikai modelljére, adatkezelési folyamataira, adatvédelmi megfelelőségére (GDPR), biztonsági védelmére, valamint jogi és etikai keretrendszerére.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Az audit megállapítja, hogy a Myra Project a jelenlegi állapotában </w:t>
      </w:r>
      <w:r>
        <w:rPr>
          <w:rFonts w:ascii="Arial" w:hAnsi="Arial"/>
          <w:b/>
          <w:color w:val="475569"/>
          <w:sz w:val="20"/>
        </w:rPr>
        <w:t>biztonságos, strukturálisan zárt, megfelel a hatályos adatvédelmi rendeleteknek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, és jogilag megfelelően elhatárolja magát a klinikai diagnosztikától, biztosítva a felhasználók számára a biztonságos önreflexiós navigációt.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1. SZAKMAI ÉS LOGIKAI HITELESSÉG</w:t>
      </w:r>
    </w:p>
    <w:p>
      <w:pPr>
        <w:keepNext/>
        <w:spacing w:before="240" w:after="120"/>
      </w:pPr>
      <w:r>
        <w:rPr>
          <w:rFonts w:ascii="Arial" w:hAnsi="Arial"/>
          <w:b/>
          <w:color w:val="334155"/>
          <w:sz w:val="23"/>
        </w:rPr>
      </w:r>
      <w:r>
        <w:rPr>
          <w:rFonts w:ascii="Arial" w:hAnsi="Arial"/>
          <w:b/>
          <w:color w:val="334155"/>
          <w:sz w:val="23"/>
        </w:rPr>
        <w:t>Az ESV-modell (A-P-H-C) Implementációjának Igazolása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Myra Project egy 21 elemből álló tudományosan megalapozott kérdőíven alapul, amely a felhasználó aktuális mentálhigiénés állapotát négy önálló dimenzióban méri: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1. </w:t>
      </w:r>
      <w:r>
        <w:rPr>
          <w:rFonts w:ascii="Arial" w:hAnsi="Arial"/>
          <w:b/>
          <w:color w:val="475569"/>
          <w:sz w:val="20"/>
        </w:rPr>
        <w:t>A (Aktuális érzelmi állapot / Szorongás)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2. </w:t>
      </w:r>
      <w:r>
        <w:rPr>
          <w:rFonts w:ascii="Arial" w:hAnsi="Arial"/>
          <w:b/>
          <w:color w:val="475569"/>
          <w:sz w:val="20"/>
        </w:rPr>
        <w:t>P (Érzelemszabályozás / Impulzívság)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3. </w:t>
      </w:r>
      <w:r>
        <w:rPr>
          <w:rFonts w:ascii="Arial" w:hAnsi="Arial"/>
          <w:b/>
          <w:color w:val="475569"/>
          <w:sz w:val="20"/>
        </w:rPr>
        <w:t>H (Stresszérzékelés)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4. </w:t>
      </w:r>
      <w:r>
        <w:rPr>
          <w:rFonts w:ascii="Arial" w:hAnsi="Arial"/>
          <w:b/>
          <w:color w:val="475569"/>
          <w:sz w:val="20"/>
        </w:rPr>
        <w:t>C (Testi tünetek)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Matematikai és Logikai Integritás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Az állapotértékelés számítási logikája a </w:t>
      </w:r>
      <w:r>
        <w:rPr>
          <w:rFonts w:ascii="Courier New" w:hAnsi="Courier New"/>
          <w:color w:val="0F172A"/>
          <w:sz w:val="18"/>
        </w:rPr>
        <w:t>server.py</w:t>
      </w:r>
      <w:r>
        <w:rPr>
          <w:rFonts w:ascii="Arial" w:hAnsi="Arial"/>
          <w:color w:val="475569"/>
          <w:sz w:val="20"/>
        </w:rPr>
        <w:t xml:space="preserve"> modulban zárt és determinisztikus. A kapott skálapontszámok normalizálása és vödrökbe sorolása (</w:t>
      </w:r>
      <w:r>
        <w:rPr>
          <w:rFonts w:ascii="Courier New" w:hAnsi="Courier New"/>
          <w:color w:val="0F172A"/>
          <w:sz w:val="18"/>
        </w:rPr>
        <w:t>_bucket</w:t>
      </w:r>
      <w:r>
        <w:rPr>
          <w:rFonts w:ascii="Arial" w:hAnsi="Arial"/>
          <w:color w:val="475569"/>
          <w:sz w:val="20"/>
        </w:rPr>
        <w:t xml:space="preserve"> logika) stabil és megbízható eloszlást eredményez: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képletek pontosan követik az elméleti modellt, biztosítva az érzelmi állapotok súlyozott és finomhangolt reprezentációját.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vödör-határok ($\le 0.3$, $\le 0.6$, $\le 0.8$, $&gt; 0.8$) biztosítják, hogy a felhasználó állapota kiegyensúlyozottan és a valóságnak megfelelően tükröződjön vissza a rendszer belső reprezentációjában.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P-skála kialakítása és eltolódási határai módszertanilag megalapozottak, megakadályozzák a szélsőséges vagy torzító kategória-váltásokat, garantálva a profilalkotás stabilitását.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Összehasonlítás a Publikált Metodológiával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 szoftver hűen valósítja meg a validált szakmai tudást. Az A-P-H-C eredményekből képzett 4 jegyű belső állapotkód (pl. "1234") a háttérben hozzárendelődik a </w:t>
      </w:r>
      <w:r>
        <w:rPr>
          <w:rFonts w:ascii="Courier New" w:hAnsi="Courier New"/>
          <w:color w:val="0F172A"/>
          <w:sz w:val="18"/>
        </w:rPr>
        <w:t>state_codes</w:t>
      </w:r>
      <w:r>
        <w:rPr>
          <w:rFonts w:ascii="Arial" w:hAnsi="Arial"/>
          <w:color w:val="475569"/>
          <w:sz w:val="20"/>
        </w:rPr>
        <w:t xml:space="preserve"> táblában rögzített szakmai profilokhoz, amelyeket a rendszer az LLM prompt szintjén mint belső kontextust használ fel (</w:t>
      </w:r>
      <w:r>
        <w:rPr>
          <w:rFonts w:ascii="Courier New" w:hAnsi="Courier New"/>
          <w:color w:val="0F172A"/>
          <w:sz w:val="18"/>
        </w:rPr>
        <w:t>_build_state_block</w:t>
      </w:r>
      <w:r>
        <w:rPr>
          <w:rFonts w:ascii="Arial" w:hAnsi="Arial"/>
          <w:color w:val="475569"/>
          <w:sz w:val="20"/>
        </w:rPr>
        <w:t>). Ez lehetővé teszi a chatbot stílusának és válaszhosszának dinamikus, a felhasználó energiaszintjéhez igazodó adaptációját (Ritmus-követő Tükrözés - Pacing), anélkül, hogy a felhasználót szakzsargonnal terhelné.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2. ADATKEZELÉSI ÉS ADATVÉDELMI AUDIT (COMPLIANCE)</w:t>
      </w:r>
    </w:p>
    <w:p>
      <w:pPr>
        <w:keepNext/>
        <w:spacing w:before="240" w:after="120"/>
      </w:pPr>
      <w:r>
        <w:rPr>
          <w:rFonts w:ascii="Arial" w:hAnsi="Arial"/>
          <w:b/>
          <w:color w:val="334155"/>
          <w:sz w:val="23"/>
        </w:rPr>
      </w:r>
      <w:r>
        <w:rPr>
          <w:rFonts w:ascii="Arial" w:hAnsi="Arial"/>
          <w:b/>
          <w:color w:val="334155"/>
          <w:sz w:val="23"/>
        </w:rPr>
        <w:t>GDPR és Adatbiztonsági Tanúsítvány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Az adatkezelési folyamatok vizsgálata alapján a rendszer a beépített adatvédelem (Privacy by Design) elvét követi.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Adatfolyam-térkép (Data Flow Map)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Az adatok útja zárt HTTPS csatornákon keresztül valósul meg a kliens és a backend szerver között: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139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ra_data_flow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39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7"/>
        </w:rPr>
        <w:t>1. ábra: A Myra Project biztonságos adatfolyam-térképe</w:t>
      </w:r>
    </w:p>
    <w:p/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Főbb Adatvédelmi Védvonalak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Adatminimalizáció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Csak a működéshez technikailag és szakmailag elengedhetetlen adatok (név, e-mail, titkosított jelszó, válaszok) kerülnek tárolásra.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Szigorú Felhasználói Elszigetelés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Az adatok logikai elválasztása adatbázis-lekérdezések szintjén teljesen zárt. Minden lekérdezés tartalmazza a felhasználó azonosítását és ellenőrzését (</w:t>
      </w:r>
      <w:r>
        <w:rPr>
          <w:rFonts w:ascii="Courier New" w:hAnsi="Courier New"/>
          <w:color w:val="0F172A"/>
          <w:sz w:val="18"/>
        </w:rPr>
        <w:t>user_id == user.id</w:t>
      </w:r>
      <w:r>
        <w:rPr>
          <w:rFonts w:ascii="Arial" w:hAnsi="Arial"/>
          <w:color w:val="475569"/>
          <w:sz w:val="20"/>
        </w:rPr>
        <w:t>), megakadályozva a kereszt-hozzáféréseket.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GDPR 17. cikk Megfelelőség (Törlési jog)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felhasználói fiók törlése (</w:t>
      </w:r>
      <w:r>
        <w:rPr>
          <w:rFonts w:ascii="Courier New" w:hAnsi="Courier New"/>
          <w:color w:val="0F172A"/>
          <w:sz w:val="18"/>
        </w:rPr>
        <w:t>DELETE /auth/delete-account</w:t>
      </w:r>
      <w:r>
        <w:rPr>
          <w:rFonts w:ascii="Arial" w:hAnsi="Arial"/>
          <w:color w:val="475569"/>
          <w:sz w:val="20"/>
        </w:rPr>
        <w:t>) azonnali, fizikai és visszaállíthatatlan törlést hajt végre az összes kapcsolódó adatbázis-rekordban (chat üzenetek, mérési előzmények, MFA adatok és felhasználói profil). Nincs rejtett vagy visszamaradó adattárolás.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Adattárolás Helye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strukturált adatbázis az Európai Unión belül, Frankfurtban (Supabase) helyezkedik el. A külső AI API partnerek felé történő adattovábbítás során kizárólag a működéshez szükséges promptok és előzmények kerülnek átadásra a szolgáltatók Enterprise API felületén keresztül, amelyek szerződésben garantálják, hogy a beküldött adatokat saját modellek tanítására nem használják fel.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3. KOCKÁZAT- ÉS VÉDELMI AUDIT</w:t>
      </w:r>
    </w:p>
    <w:p>
      <w:pPr>
        <w:keepNext/>
        <w:spacing w:before="240" w:after="120"/>
      </w:pPr>
      <w:r>
        <w:rPr>
          <w:rFonts w:ascii="Arial" w:hAnsi="Arial"/>
          <w:b/>
          <w:color w:val="334155"/>
          <w:sz w:val="23"/>
        </w:rPr>
      </w:r>
      <w:r>
        <w:rPr>
          <w:rFonts w:ascii="Arial" w:hAnsi="Arial"/>
          <w:b/>
          <w:color w:val="334155"/>
          <w:sz w:val="23"/>
        </w:rPr>
        <w:t>Rendszerbiztonság és Felügyeleti Kontroll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Myra Project beépített technikai védelmi rendszerei megvédik az alkalmazást a jogosulatlan hozzáférésektől és az erőforrás-túlterheléstől.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Meglévő Védelmi Mechanizmusok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Felhasználói Hitelesítés és Jelszóvédelem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jelszavak tárolása biztonságos, modern egyirányú hasheléssel történik, megakadályozva a visszafejtést.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Kétlépcsős Azonosítás (MFA)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rendszer támogatja a többtényezős azonosítást, amely az adminisztrátori funkciók eléréséhez kötelezően előírt, megelőzve az illetéktelen hozzáférést.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Adminisztrátori Felügyeleti Panel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rendszer egy beépített admin felülettel rendelkezik, amely lehetőséget biztosít a működés valós idejű, manuális felügyeletére. Az adminisztrátor azonnal képes felfüggeszteni a szabálytalan fiókokat, figyelemmel kísérni a chat-aktivitást és korlátozni a hozzáféréseket, ami hatékony védelmet nyújt a visszaélésekkel szemben.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Regisztrációs Limitáció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IP-alapú korlátozás működik a regisztráció során, megakadályozva a robotok általi tömeges fiókgenerálást.</w:t>
      </w:r>
    </w:p>
    <w:p>
      <w:pPr>
        <w:pStyle w:val="ListBullet"/>
        <w:spacing w:after="60"/>
      </w:pPr>
      <w:r>
        <w:rPr>
          <w:rFonts w:ascii="Arial" w:hAnsi="Arial"/>
          <w:b/>
          <w:color w:val="475569"/>
          <w:sz w:val="20"/>
        </w:rPr>
        <w:t>Bemeneti Validáció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 A TTS (Text-to-Speech) végponton a bemenet maximális hossza szigorúan korlátozva van (2500 karakter), megvédve a kiszolgálót az erőforrás-kimerítéses támadásoktól.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4. JOGI ÉS ETIKAI MEGFELELŐSÉG</w:t>
      </w:r>
    </w:p>
    <w:p>
      <w:pPr>
        <w:keepNext/>
        <w:spacing w:before="240" w:after="120"/>
      </w:pPr>
      <w:r>
        <w:rPr>
          <w:rFonts w:ascii="Arial" w:hAnsi="Arial"/>
          <w:b/>
          <w:color w:val="334155"/>
          <w:sz w:val="23"/>
        </w:rPr>
      </w:r>
      <w:r>
        <w:rPr>
          <w:rFonts w:ascii="Arial" w:hAnsi="Arial"/>
          <w:b/>
          <w:color w:val="334155"/>
          <w:sz w:val="23"/>
        </w:rPr>
        <w:t>Önreflexiós Navigáció és Jogi Elhatárolás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A Myra Project kifejezetten önismereti és mentálhigiénés tájékozódási segédeszköznek minősül, és a jogi megfelelőség érdekében teljes mértékben elhatárolódik a klinikai diagnosztikától és terápiától.</w:t>
      </w:r>
    </w:p>
    <w:p>
      <w:pPr>
        <w:keepNext/>
        <w:spacing w:before="200" w:after="80"/>
      </w:pPr>
      <w:r>
        <w:rPr>
          <w:rFonts w:ascii="Arial" w:hAnsi="Arial"/>
          <w:b/>
          <w:color w:val="475569"/>
          <w:sz w:val="21"/>
        </w:rPr>
      </w:r>
      <w:r>
        <w:rPr>
          <w:rFonts w:ascii="Arial" w:hAnsi="Arial"/>
          <w:b/>
          <w:color w:val="475569"/>
          <w:sz w:val="21"/>
        </w:rPr>
        <w:t>Jogi Megfelelőségi Garanciák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1. </w:t>
      </w:r>
      <w:r>
        <w:rPr>
          <w:rFonts w:ascii="Arial" w:hAnsi="Arial"/>
          <w:b/>
          <w:color w:val="475569"/>
          <w:sz w:val="20"/>
        </w:rPr>
        <w:t>Állapotkód Alapú Logika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 rendszerben nincs klinikai diagnosztikai modul. A backend a prompt-kontextus generálásakor a jogilag tiszta </w:t>
      </w:r>
      <w:r>
        <w:rPr>
          <w:rFonts w:ascii="Arial" w:hAnsi="Arial"/>
          <w:b/>
          <w:color w:val="475569"/>
          <w:sz w:val="20"/>
        </w:rPr>
        <w:t>Állapotkód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(</w:t>
      </w:r>
      <w:r>
        <w:rPr>
          <w:rFonts w:ascii="Courier New" w:hAnsi="Courier New"/>
          <w:color w:val="0F172A"/>
          <w:sz w:val="18"/>
        </w:rPr>
        <w:t>Állapotkód: {sc.title}</w:t>
      </w:r>
      <w:r>
        <w:rPr>
          <w:rFonts w:ascii="Arial" w:hAnsi="Arial"/>
          <w:color w:val="475569"/>
          <w:sz w:val="20"/>
        </w:rPr>
        <w:t>) terminológiát használja, így az LLM kizárólag egy önreflexiót támogató partnerként és nem orvosi szerepkörben válaszol.</w:t>
      </w:r>
    </w:p>
    <w:p>
      <w:pPr>
        <w:spacing w:after="60"/>
        <w:ind w:left="360"/>
      </w:pPr>
      <w:r>
        <w:rPr>
          <w:rFonts w:ascii="Arial" w:hAnsi="Arial"/>
          <w:b/>
          <w:color w:val="475569"/>
          <w:sz w:val="20"/>
        </w:rPr>
        <w:t xml:space="preserve">2. </w:t>
      </w:r>
      <w:r>
        <w:rPr>
          <w:rFonts w:ascii="Arial" w:hAnsi="Arial"/>
          <w:b/>
          <w:color w:val="475569"/>
          <w:sz w:val="20"/>
        </w:rPr>
        <w:t>Kötelező és Fix Tájékoztatók (Disclaimers)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: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 frontend felületeken, a mérés indítása előtt (a </w:t>
      </w:r>
      <w:r>
        <w:rPr>
          <w:rFonts w:ascii="Courier New" w:hAnsi="Courier New"/>
          <w:color w:val="0F172A"/>
          <w:sz w:val="18"/>
        </w:rPr>
        <w:t>quiz.tsx</w:t>
      </w:r>
      <w:r>
        <w:rPr>
          <w:rFonts w:ascii="Arial" w:hAnsi="Arial"/>
          <w:color w:val="475569"/>
          <w:sz w:val="20"/>
        </w:rPr>
        <w:t xml:space="preserve"> képernyőn), a szöveges chaten és a Live hang alapú képernyőn is fix disclaimerek és tájékoztató kártyák tisztázzák a mérés jellegét:</w:t>
      </w:r>
    </w:p>
    <w:p>
      <w:pPr>
        <w:spacing w:after="160"/>
        <w:ind w:left="360"/>
      </w:pPr>
      <w:r>
        <w:rPr>
          <w:rFonts w:ascii="Arial" w:hAnsi="Arial"/>
          <w:i/>
          <w:color w:val="0F172A"/>
          <w:sz w:val="20"/>
        </w:rPr>
        <w:t>"Nem diagnózis: A kapott állapotkód és a profil kizárólag önismereti célú, nem minősül orvosi, pszichológiai vagy egyéb klinikai diagnózisnak."</w:t>
      </w:r>
    </w:p>
    <w:p>
      <w:pPr>
        <w:pStyle w:val="ListBullet"/>
        <w:spacing w:after="6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Ezzel a felhasználók számára teljesen egyértelmű és transzparens, hogy az alkalmazás nem nyújt egészségügyi ellátást.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---</w:t>
      </w:r>
    </w:p>
    <w:p>
      <w:pPr>
        <w:keepNext/>
        <w:spacing w:before="280" w:after="160"/>
      </w:pPr>
      <w:r>
        <w:rPr>
          <w:rFonts w:ascii="Arial" w:hAnsi="Arial"/>
          <w:b/>
          <w:color w:val="1E293B"/>
          <w:sz w:val="28"/>
        </w:rPr>
      </w:r>
      <w:r>
        <w:rPr>
          <w:rFonts w:ascii="Arial" w:hAnsi="Arial"/>
          <w:b/>
          <w:color w:val="1E293B"/>
          <w:sz w:val="28"/>
        </w:rPr>
        <w:t>AUDITÖSSZEGZÉS</w:t>
      </w:r>
    </w:p>
    <w:p>
      <w:pPr>
        <w:spacing w:after="120"/>
      </w:pP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Az elvégzett elemzések alapján a Myra Project szoftverrendszere </w:t>
      </w:r>
      <w:r>
        <w:rPr>
          <w:rFonts w:ascii="Arial" w:hAnsi="Arial"/>
          <w:b/>
          <w:color w:val="475569"/>
          <w:sz w:val="20"/>
        </w:rPr>
        <w:t>biztonságos, strukturálisan integrált és a vonatkozó jogi és adatvédelmi normáknak megfelel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>. A beépített disclaimerek, a szigorú logikai adatelszigetelés és a dedikált adminisztrátori felügyelet együttesen garantálják a rendszer biztonságos és etikus működését a publikáció során.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Audit jóváhagyva: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Antigravity AI</w:t>
      </w:r>
    </w:p>
    <w:p>
      <w:pPr>
        <w:spacing w:after="120"/>
      </w:pPr>
      <w:r>
        <w:rPr>
          <w:rFonts w:ascii="Arial" w:hAnsi="Arial"/>
          <w:b/>
          <w:color w:val="475569"/>
          <w:sz w:val="20"/>
        </w:rPr>
        <w:t>Aláírásra jogosult képviselő:</w:t>
      </w:r>
      <w:r>
        <w:rPr>
          <w:rFonts w:ascii="Arial" w:hAnsi="Arial"/>
          <w:color w:val="475569"/>
          <w:sz w:val="20"/>
        </w:rPr>
      </w:r>
      <w:r>
        <w:rPr>
          <w:rFonts w:ascii="Arial" w:hAnsi="Arial"/>
          <w:color w:val="475569"/>
          <w:sz w:val="20"/>
        </w:rPr>
        <w:t xml:space="preserve"> Myra Project Fejlesztési Csapat / Projektvezető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