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strategic-planning-objectives"/>
      <w:bookmarkEnd w:id="21"/>
      <w:r>
        <w:t xml:space="preserve">Strategic Planning Objectives</w:t>
      </w:r>
    </w:p>
    <w:p>
      <w:pPr>
        <w:pStyle w:val="Heading3"/>
      </w:pPr>
      <w:bookmarkStart w:id="22" w:name="ard-analysis-ready-data"/>
      <w:bookmarkEnd w:id="22"/>
      <w:r>
        <w:t xml:space="preserve">ARD Analysis Ready Data</w:t>
      </w:r>
    </w:p>
    <w:p>
      <w:pPr>
        <w:pStyle w:val="Compact"/>
        <w:numPr>
          <w:numId w:val="1001"/>
          <w:ilvl w:val="0"/>
        </w:numPr>
      </w:pPr>
      <w:r>
        <w:t xml:space="preserve">USGS confirmed that Analysis Ready Data will be the standard product of the Landsat</w:t>
      </w:r>
      <w:r>
        <w:t xml:space="preserve"> </w:t>
      </w:r>
      <w:r>
        <w:t xml:space="preserve">program beginning with Collection 2, and that production of these products is formally a</w:t>
      </w:r>
      <w:r>
        <w:t xml:space="preserve"> </w:t>
      </w:r>
      <w:r>
        <w:t xml:space="preserve">part of the Landsat 9 development project. USGS noted that delivery of global Analysis-</w:t>
      </w:r>
      <w:r>
        <w:t xml:space="preserve"> </w:t>
      </w:r>
      <w:r>
        <w:t xml:space="preserve">ready data is a core part of their work program, with firm deadlines in place, and that input</w:t>
      </w:r>
      <w:r>
        <w:t xml:space="preserve"> </w:t>
      </w:r>
      <w:r>
        <w:t xml:space="preserve">from partners to validate the products will be important.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23" w:name="cloud-technologies"/>
      <w:bookmarkEnd w:id="23"/>
      <w:r>
        <w:t xml:space="preserve">Cloud Technologies</w:t>
      </w:r>
    </w:p>
    <w:p>
      <w:pPr>
        <w:pStyle w:val="Compact"/>
        <w:numPr>
          <w:numId w:val="1002"/>
          <w:ilvl w:val="0"/>
        </w:numPr>
      </w:pPr>
      <w:r>
        <w:t xml:space="preserve">Both parties continue to engage with the impact of cloud technology on their future</w:t>
      </w:r>
      <w:r>
        <w:t xml:space="preserve"> </w:t>
      </w:r>
      <w:r>
        <w:t xml:space="preserve">architecture, noting that access to data and functionality in the cloud greatly expands the</w:t>
      </w:r>
      <w:r>
        <w:t xml:space="preserve"> </w:t>
      </w:r>
      <w:r>
        <w:t xml:space="preserve">potential user base in a way that is not possible with internal or restricted systems. The</w:t>
      </w:r>
      <w:r>
        <w:t xml:space="preserve"> </w:t>
      </w:r>
      <w:r>
        <w:t xml:space="preserve">business models under which Government enables exploitation of these technologies is</w:t>
      </w:r>
      <w:r>
        <w:t xml:space="preserve"> </w:t>
      </w:r>
      <w:r>
        <w:t xml:space="preserve">something that requires ongoing consideration.</w:t>
      </w:r>
    </w:p>
    <w:p>
      <w:pPr>
        <w:pStyle w:val="Heading3"/>
      </w:pPr>
      <w:bookmarkStart w:id="24" w:name="section"/>
      <w:bookmarkEnd w:id="24"/>
    </w:p>
    <w:p>
      <w:pPr>
        <w:pStyle w:val="Compact"/>
        <w:numPr>
          <w:numId w:val="1003"/>
          <w:ilvl w:val="0"/>
        </w:numPr>
      </w:pPr>
      <w:r>
        <w:t xml:space="preserve">The importance of cloud computing to their future strategies was increasing. Both parties</w:t>
      </w:r>
      <w:r>
        <w:t xml:space="preserve"> </w:t>
      </w:r>
      <w:r>
        <w:t xml:space="preserve">noted, however, that existing infrastructures (such as the National Computational</w:t>
      </w:r>
      <w:r>
        <w:t xml:space="preserve"> </w:t>
      </w:r>
      <w:r>
        <w:t xml:space="preserve">Infrastructure in the case of GA and the Cassandra system in the case of USGS) would remain</w:t>
      </w:r>
      <w:r>
        <w:t xml:space="preserve"> </w:t>
      </w:r>
      <w:r>
        <w:t xml:space="preserve">important assets for the next few years, and that roadmaps needed to take a long-term</w:t>
      </w:r>
      <w:r>
        <w:t xml:space="preserve"> </w:t>
      </w:r>
      <w:r>
        <w:t xml:space="preserve">view.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25" w:name="landsat-and-sentinel-2"/>
      <w:bookmarkEnd w:id="25"/>
      <w:r>
        <w:t xml:space="preserve">Landsat and Sentinel-2</w:t>
      </w:r>
    </w:p>
    <w:p>
      <w:pPr>
        <w:pStyle w:val="Compact"/>
        <w:numPr>
          <w:numId w:val="1004"/>
          <w:ilvl w:val="0"/>
        </w:numPr>
      </w:pPr>
      <w:r>
        <w:t xml:space="preserve">Both parties noted the ongoing desire to ensure high levels of interoperability between</w:t>
      </w:r>
      <w:r>
        <w:t xml:space="preserve"> </w:t>
      </w:r>
      <w:r>
        <w:t xml:space="preserve">Landsat and Sentinel-2 data. Interoperability between these two missions will be a key</w:t>
      </w:r>
      <w:r>
        <w:t xml:space="preserve"> </w:t>
      </w:r>
      <w:r>
        <w:t xml:space="preserve">enabler of downstream product development, and will act as a catalyst for the release of</w:t>
      </w:r>
      <w:r>
        <w:t xml:space="preserve"> </w:t>
      </w:r>
      <w:r>
        <w:t xml:space="preserve">interoperable products by other space agencies, further helping users.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26" w:name="predictive-systems"/>
      <w:bookmarkEnd w:id="26"/>
      <w:r>
        <w:t xml:space="preserve">Predictive Systems</w:t>
      </w:r>
    </w:p>
    <w:p>
      <w:pPr>
        <w:pStyle w:val="Compact"/>
        <w:numPr>
          <w:numId w:val="1005"/>
          <w:ilvl w:val="0"/>
        </w:numPr>
      </w:pPr>
      <w:r>
        <w:t xml:space="preserve">The desire to establish ‘predictive’ systems for environmental data was increasing, and that</w:t>
      </w:r>
      <w:r>
        <w:t xml:space="preserve"> </w:t>
      </w:r>
      <w:r>
        <w:t xml:space="preserve">this would require comprehensive cross-disciplinary collaboration, and assimilation of</w:t>
      </w:r>
      <w:r>
        <w:t xml:space="preserve"> </w:t>
      </w:r>
      <w:r>
        <w:t xml:space="preserve">heterogeneous data sets derived from remote and in-situ observations. GA noted Australian</w:t>
      </w:r>
      <w:r>
        <w:t xml:space="preserve"> </w:t>
      </w:r>
      <w:r>
        <w:t xml:space="preserve">Government funding for scoping of an ‘environmental prediction system’, and USGS noted</w:t>
      </w:r>
      <w:r>
        <w:t xml:space="preserve"> </w:t>
      </w:r>
      <w:r>
        <w:t xml:space="preserve">that projection was a key element of their LCMAP program that would require significant</w:t>
      </w:r>
      <w:r>
        <w:t xml:space="preserve"> </w:t>
      </w:r>
      <w:r>
        <w:t xml:space="preserve">attention over coming years. Both agencies noted rapidly increasing interest in systems for</w:t>
      </w:r>
      <w:r>
        <w:t xml:space="preserve"> </w:t>
      </w:r>
      <w:r>
        <w:t xml:space="preserve">monitoring and predicting water quality.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27" w:name="odc-collaboration-and-promotion"/>
      <w:bookmarkEnd w:id="27"/>
      <w:r>
        <w:t xml:space="preserve">ODC Collaboration and Promotion</w:t>
      </w:r>
    </w:p>
    <w:p>
      <w:pPr>
        <w:pStyle w:val="Compact"/>
        <w:numPr>
          <w:numId w:val="1006"/>
          <w:ilvl w:val="0"/>
        </w:numPr>
      </w:pPr>
      <w:r>
        <w:t xml:space="preserve">The USGS formally joined the Open Data Cube initiative, contributing to the leadership of</w:t>
      </w:r>
      <w:r>
        <w:t xml:space="preserve"> </w:t>
      </w:r>
      <w:r>
        <w:t xml:space="preserve">the program and making technical contributions that will ensure that Landsat data was more</w:t>
      </w:r>
      <w:r>
        <w:t xml:space="preserve"> </w:t>
      </w:r>
      <w:r>
        <w:t xml:space="preserve">easily accessible to the 40+ countries using the open-source platform to exploit Earth</w:t>
      </w:r>
      <w:r>
        <w:t xml:space="preserve"> </w:t>
      </w:r>
      <w:r>
        <w:t xml:space="preserve">observation data.</w:t>
      </w:r>
    </w:p>
    <w:p>
      <w:pPr>
        <w:pStyle w:val="Heading4"/>
      </w:pPr>
      <w:bookmarkStart w:id="28" w:name="future-activity-in-odc"/>
      <w:bookmarkEnd w:id="28"/>
      <w:r>
        <w:t xml:space="preserve">Future Activity in ODC</w:t>
      </w:r>
    </w:p>
    <w:p>
      <w:pPr>
        <w:numPr>
          <w:numId w:val="1007"/>
          <w:ilvl w:val="0"/>
        </w:numPr>
      </w:pPr>
      <w:r>
        <w:t xml:space="preserve">Encouraging the GEO community to develop “Open Data Cube”-ready algorithms/products.</w:t>
      </w:r>
      <w:r>
        <w:t xml:space="preserve"> </w:t>
      </w:r>
      <w:r>
        <w:t xml:space="preserve">This will give GA and USGS, and their user communities, access to a richer set of products to</w:t>
      </w:r>
      <w:r>
        <w:t xml:space="preserve"> </w:t>
      </w:r>
      <w:r>
        <w:t xml:space="preserve">adapt and apply to local needs. It will also make the Open Data Cube product more</w:t>
      </w:r>
      <w:r>
        <w:t xml:space="preserve"> </w:t>
      </w:r>
      <w:r>
        <w:t xml:space="preserve">attractive to the broader user community and supports the USGS’s goal of global Landsat</w:t>
      </w:r>
      <w:r>
        <w:t xml:space="preserve"> </w:t>
      </w:r>
      <w:r>
        <w:t xml:space="preserve">data exploitation.</w:t>
      </w:r>
    </w:p>
    <w:p>
      <w:pPr>
        <w:numPr>
          <w:numId w:val="1007"/>
          <w:ilvl w:val="0"/>
        </w:numPr>
      </w:pPr>
      <w:r>
        <w:t xml:space="preserve">Identifying the functionality in the USGS LCMAP system that GA could interface or ‘port’ to</w:t>
      </w:r>
      <w:r>
        <w:t xml:space="preserve"> </w:t>
      </w:r>
      <w:r>
        <w:t xml:space="preserve">the Open Data Cube project. Availability of this functionality would benefit the user</w:t>
      </w:r>
      <w:r>
        <w:t xml:space="preserve"> </w:t>
      </w:r>
      <w:r>
        <w:t xml:space="preserve">communities of Digital Earth Australia and Landsat data, and ensure the Open Data Cube</w:t>
      </w:r>
      <w:r>
        <w:t xml:space="preserve"> </w:t>
      </w:r>
      <w:r>
        <w:t xml:space="preserve">moves towards supporting internal USGS needs.</w:t>
      </w:r>
    </w:p>
    <w:p>
      <w:pPr>
        <w:numPr>
          <w:numId w:val="1007"/>
          <w:ilvl w:val="0"/>
        </w:numPr>
      </w:pPr>
      <w:r>
        <w:t xml:space="preserve">Ensuring that the Open Data Cube project provides a platform that is easier to install, easier</w:t>
      </w:r>
      <w:r>
        <w:t xml:space="preserve"> </w:t>
      </w:r>
      <w:r>
        <w:t xml:space="preserve">to customise, and easier to contribute both science algorithms and code to. A key priority</w:t>
      </w:r>
      <w:r>
        <w:t xml:space="preserve"> </w:t>
      </w:r>
      <w:r>
        <w:t xml:space="preserve">will be ensuring users can more easily ingest authoritative Landsat data for their areas of</w:t>
      </w:r>
      <w:r>
        <w:t xml:space="preserve"> </w:t>
      </w:r>
      <w:r>
        <w:t xml:space="preserve">interest.</w:t>
      </w:r>
    </w:p>
    <w:p>
      <w:pPr>
        <w:pStyle w:val="FirstParagraph"/>
      </w:pPr>
      <w:r>
        <w:t xml:space="preserve">Organized under the project framework as</w:t>
      </w:r>
      <w:r>
        <w:t xml:space="preserve"> </w:t>
      </w:r>
      <w:r>
        <w:t xml:space="preserve">- Data Access and Analysis (DCA)</w:t>
      </w:r>
    </w:p>
    <w:p>
      <w:pPr>
        <w:pStyle w:val="Heading4"/>
      </w:pPr>
      <w:bookmarkStart w:id="29" w:name="data-cube-and-access-development"/>
      <w:bookmarkEnd w:id="29"/>
      <w:r>
        <w:t xml:space="preserve">Data Cube and Access Development</w:t>
      </w:r>
    </w:p>
    <w:p>
      <w:pPr>
        <w:pStyle w:val="Compact"/>
        <w:numPr>
          <w:numId w:val="1008"/>
          <w:ilvl w:val="0"/>
        </w:numPr>
      </w:pPr>
      <w:r>
        <w:t xml:space="preserve">Understanding of how best to leverage commercial cloud</w:t>
      </w:r>
      <w:r>
        <w:t xml:space="preserve"> </w:t>
      </w:r>
      <w:r>
        <w:t xml:space="preserve">computing to achieve organisational objectives.</w:t>
      </w:r>
    </w:p>
    <w:p>
      <w:pPr>
        <w:pStyle w:val="Compact"/>
        <w:numPr>
          <w:numId w:val="1008"/>
          <w:ilvl w:val="0"/>
        </w:numPr>
      </w:pPr>
      <w:r>
        <w:t xml:space="preserve">Increased access to open platforms that support local,</w:t>
      </w:r>
      <w:r>
        <w:t xml:space="preserve"> </w:t>
      </w:r>
      <w:r>
        <w:t xml:space="preserve">national, regional, and global projects increases the use of</w:t>
      </w:r>
      <w:r>
        <w:t xml:space="preserve"> </w:t>
      </w:r>
      <w:r>
        <w:t xml:space="preserve">Landsat data.</w:t>
      </w:r>
    </w:p>
    <w:p>
      <w:pPr>
        <w:pStyle w:val="Compact"/>
        <w:numPr>
          <w:numId w:val="1008"/>
          <w:ilvl w:val="0"/>
        </w:numPr>
      </w:pPr>
      <w:r>
        <w:t xml:space="preserve">Support for multi-mission application development by the</w:t>
      </w:r>
      <w:r>
        <w:t xml:space="preserve"> </w:t>
      </w:r>
      <w:r>
        <w:t xml:space="preserve">broader user community, by providing a tool that is designed</w:t>
      </w:r>
      <w:r>
        <w:t xml:space="preserve"> </w:t>
      </w:r>
      <w:r>
        <w:t xml:space="preserve">from this perspective from the beginning.</w:t>
      </w:r>
    </w:p>
    <w:p>
      <w:pPr>
        <w:pStyle w:val="Compact"/>
        <w:numPr>
          <w:numId w:val="1008"/>
          <w:ilvl w:val="0"/>
        </w:numPr>
      </w:pPr>
      <w:r>
        <w:t xml:space="preserve">Easier portability of algorithms, science code, products, and</w:t>
      </w:r>
      <w:r>
        <w:t xml:space="preserve"> </w:t>
      </w:r>
      <w:r>
        <w:t xml:space="preserve">tools between GA, USGS, and the broader community.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a204ac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3d6ac029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