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hapter-21-first-pass-expanded-draft"/>
    <w:p>
      <w:pPr>
        <w:pStyle w:val="Heading1"/>
      </w:pPr>
      <w:r>
        <w:t xml:space="preserve">Chapter 21 — First-Pass Expanded Draft</w:t>
      </w:r>
    </w:p>
    <w:bookmarkStart w:id="20" w:name="X834126ce4cef2e54b5ca56607e6076c414697a3"/>
    <w:p>
      <w:pPr>
        <w:pStyle w:val="Heading2"/>
      </w:pPr>
      <w:r>
        <w:t xml:space="preserve">Section 1 — The False Promise of Digital Scarcity</w:t>
      </w:r>
    </w:p>
    <w:p>
      <w:pPr>
        <w:pStyle w:val="FirstParagraph"/>
      </w:pPr>
      <w:r>
        <w:t xml:space="preserve">Whether one likes it or not, the end of money as we’ve known it is close at hand. That is not only a good thing; it is an absolutely necessary thing for the emergence of a convivial civilization of peace, cooperation, and mutual support in which everyone can thrive.</w:t>
      </w:r>
    </w:p>
    <w:p>
      <w:pPr>
        <w:pStyle w:val="BodyText"/>
      </w:pPr>
      <w:r>
        <w:t xml:space="preserve">While the headlines are dominated by the speculative frenzies of the cryptocurrency markets, a more profound transformation is occurring beneath the surface. This shift represents not merely the digitization of money, but a growing recognition that the present global system of money, banking, and finance is fundamentally flawed because it concentrates the allocation and control of credit in the hands of centralized banking and political elites.</w:t>
      </w:r>
    </w:p>
    <w:p>
      <w:pPr>
        <w:pStyle w:val="BodyText"/>
      </w:pPr>
      <w:r>
        <w:t xml:space="preserve">Bitcoin was initially hailed as a means of freeing the world from dependence upon the dollar and the extractive credit monopoly of the banking system. Yet Bitcoin and most of its imitators have largely failed to become circulating exchange media for everyday commerce. Instead, they have behaved mainly as virtual commodities whose prices are driven by speculation, artificial scarcity, and hopes of future resale.</w:t>
      </w:r>
    </w:p>
    <w:p>
      <w:pPr>
        <w:pStyle w:val="BodyText"/>
      </w:pPr>
      <w:r>
        <w:t xml:space="preserve">The fundamental error of much of the cryptocurrency movement has been the attempt to recreate the scarcity logic of gold in digital form. But true exchange does not require artificially scarce objects. It requires reliable accounting, reciprocal confidence, and honest claims upon real value.</w:t>
      </w:r>
    </w:p>
    <w:p>
      <w:pPr>
        <w:pStyle w:val="BodyText"/>
      </w:pPr>
      <w:r>
        <w:t xml:space="preserve">It may therefore be useful to distinguish between three very different kinds of digital exchange media. The first consists of speculative digital tokens that are held primarily in hopes of profit from future price appreciation. The second consists of fiat derivatives, such as many stablecoins, whose value depends largely upon reserves of political fiat currencies held within the conventional banking system. The third consists of redeemable claims on real value—claims grounded in productive capacity and backed by goods, services, or other forms of real economic output that issuers are ready, willing, and able to redeem.</w:t>
      </w:r>
    </w:p>
    <w:p>
      <w:pPr>
        <w:pStyle w:val="BodyText"/>
      </w:pPr>
      <w:r>
        <w:t xml:space="preserve">Only the third category points toward a genuine alternative to the present monetary order. Digital scarcity by itself cannot civilize exchange. Nor can fiat-backed instruments provide real independence from the system whose liabilities they merely repackage. The real promise of digital exchange lies in the possibility of creating transparent, verifiable, and redeemable claims grounded in productive capacity.</w:t>
      </w:r>
    </w:p>
    <w:p>
      <w:pPr>
        <w:pStyle w:val="BodyText"/>
      </w:pPr>
      <w:r>
        <w:t xml:space="preserve">Any digital exchange system that merely reproduces the speculative and extractive tendencies of the present monetary regime will fail to provide the resilient and decentralized alternative the world now requires. If digital technologies are to contribute meaningfully to monetary reform, they must help restore the relationship between exchange media and real value, rather than deepen the abstraction, speculation, and financialization that already dominate the present system.</w:t>
      </w:r>
    </w:p>
    <w:bookmarkEnd w:id="20"/>
    <w:bookmarkStart w:id="21" w:name="X0f129dac93adce5680d8f409c0b4ac7606fd179"/>
    <w:p>
      <w:pPr>
        <w:pStyle w:val="Heading2"/>
      </w:pPr>
      <w:r>
        <w:t xml:space="preserve">Section 2 — Blockchain: A Tool for Trust, Not a New Money</w:t>
      </w:r>
    </w:p>
    <w:p>
      <w:pPr>
        <w:pStyle w:val="FirstParagraph"/>
      </w:pPr>
      <w:r>
        <w:t xml:space="preserve">Blockchain and related forms of Distributed Ledger Technology (DLT) have generated immense excitement, confusion, and controversy. Much of that confusion results from the failure to distinguish between blockchain as a speculative financial phenomenon and blockchain as a possible tool for maintaining trustworthy records of exchange.</w:t>
      </w:r>
    </w:p>
    <w:p>
      <w:pPr>
        <w:pStyle w:val="BodyText"/>
      </w:pPr>
      <w:r>
        <w:t xml:space="preserve">The main thing distinguishing a blockchain from an ordinary database is that it is append-only and distributed across many participants rather than controlled by a single centralized authority. Transactions, once validated by the network, become extremely difficult to alter retroactively. This creates what is often called an immutable audit trail.</w:t>
      </w:r>
    </w:p>
    <w:p>
      <w:pPr>
        <w:pStyle w:val="BodyText"/>
      </w:pPr>
      <w:r>
        <w:t xml:space="preserve">That characteristic may indeed have useful applications in reciprocal exchange and credit clearing systems because honest exchange depends fundamentally upon trustworthy records of claims and obligations. A clearing network cannot function effectively if records may be secretly altered, manipulated, or erased.</w:t>
      </w:r>
    </w:p>
    <w:p>
      <w:pPr>
        <w:pStyle w:val="BodyText"/>
      </w:pPr>
      <w:r>
        <w:t xml:space="preserve">At the same time, blockchain itself should not be mistaken for a new form of money, nor should it be regarded as a cure for the deeper structural defects of the present monetary system. The costs of maintaining many blockchain systems are extremely high, and their utility must always be judged in relation to the actual economic functions they perform.</w:t>
      </w:r>
    </w:p>
    <w:p>
      <w:pPr>
        <w:pStyle w:val="BodyText"/>
      </w:pPr>
      <w:r>
        <w:t xml:space="preserve">The truly important question is not whether a system uses blockchain, but whether it provides reliable, transparent, tamper-resistant verification of claims, obligations, and redemption commitments without requiring blind trust in centralized institutions.</w:t>
      </w:r>
    </w:p>
    <w:p>
      <w:pPr>
        <w:pStyle w:val="BodyText"/>
      </w:pPr>
      <w:r>
        <w:t xml:space="preserve">There are, in fact, many possible ways to accomplish such verification. Some systems may use distributed ledgers. Others may rely upon federated records, bilateral clearing accounts, audited custodial records, cryptographic receipts, or locally governed trust registries. The essential requirement is not a particular technology, but the preservation of integrity, transparency, accountability, and reciprocal confidence within the exchange process.</w:t>
      </w:r>
    </w:p>
    <w:p>
      <w:pPr>
        <w:pStyle w:val="BodyText"/>
      </w:pPr>
      <w:r>
        <w:t xml:space="preserve">In this respect, blockchain may prove useful not as a speculative engine, but as one possible means of creating exchangeable vouchers or digital claims representing real goods, services, or productive capacity that issuers are prepared to redeem.</w:t>
      </w:r>
    </w:p>
    <w:p>
      <w:pPr>
        <w:pStyle w:val="BodyText"/>
      </w:pPr>
      <w:r>
        <w:t xml:space="preserve">If properly designed, such systems could help communities and networks of producers maintain accurate records, facilitate reciprocal exchange, reduce dependence upon centralized banking structures, and support more localized and resilient patterns of economic cooperation.</w:t>
      </w:r>
    </w:p>
    <w:p>
      <w:pPr>
        <w:pStyle w:val="BodyText"/>
      </w:pPr>
      <w:r>
        <w:t xml:space="preserve">But technology alone cannot solve the money problem. Any exchange system, whether digital or otherwise, ultimately depends upon the integrity of its issuers, the soundness of its basis of issue, the clarity of its redemption obligations, and the trustworthiness of the communities that sustain it.</w:t>
      </w:r>
    </w:p>
    <w:p>
      <w:r>
        <w:pict>
          <v:rect style="width:0;height:1.5pt" o:hralign="center" o:hrstd="t" o:hr="t"/>
        </w:pict>
      </w:r>
    </w:p>
    <w:bookmarkEnd w:id="21"/>
    <w:bookmarkStart w:id="22" w:name="X177e2444786c681be63c3c4e989da69263a293e"/>
    <w:p>
      <w:pPr>
        <w:pStyle w:val="Heading2"/>
      </w:pPr>
      <w:r>
        <w:t xml:space="preserve">Section 3 — AI and the Automation of Reciprocal Exchange</w:t>
      </w:r>
    </w:p>
    <w:p>
      <w:pPr>
        <w:pStyle w:val="FirstParagraph"/>
      </w:pPr>
      <w:r>
        <w:t xml:space="preserve">As reciprocal exchange networks expand from local circles into broader federations of producers, merchants, service providers, and communities, the complexity of managing claims, obligations, settlements, and credit relationships increases dramatically. This is where artificial intelligence and related digital tools may offer important assistance.</w:t>
      </w:r>
    </w:p>
    <w:p>
      <w:pPr>
        <w:pStyle w:val="BodyText"/>
      </w:pPr>
      <w:r>
        <w:t xml:space="preserve">We are entering an era in which so-called</w:t>
      </w:r>
      <w:r>
        <w:t xml:space="preserve"> </w:t>
      </w:r>
      <w:r>
        <w:t xml:space="preserve">“smart wallets,”</w:t>
      </w:r>
      <w:r>
        <w:t xml:space="preserve"> </w:t>
      </w:r>
      <w:r>
        <w:t xml:space="preserve">intelligent agents, and automated exchange systems may be capable of performing much of the tedious accounting and transactional work that presently overwhelms both individuals and institutions. Such systems may eventually assist participants in locating reciprocal trade opportunities, routing obligations through clearing paths, balancing accounts, forecasting liquidity needs, identifying settlement opportunities, and reducing unnecessary dependence upon bank-issued credit.</w:t>
      </w:r>
    </w:p>
    <w:p>
      <w:pPr>
        <w:pStyle w:val="BodyText"/>
      </w:pPr>
      <w:r>
        <w:t xml:space="preserve">In a properly designed reciprocal exchange system, intelligent software agents might help match buyers and sellers, identify offsetting obligations, optimize clearing flows, and facilitate multilateral settlement among participants who may never interact directly with one another.</w:t>
      </w:r>
    </w:p>
    <w:p>
      <w:pPr>
        <w:pStyle w:val="BodyText"/>
      </w:pPr>
      <w:r>
        <w:t xml:space="preserve">As these systems evolve, it may become possible for exchange networks to operate with far greater efficiency while using significantly less political fiat currency as an intermediary. In such an environment, money increasingly becomes not a scarce commodity to be accumulated, but a fluid accounting mechanism used to coordinate production, exchange, and reciprocal obligation.</w:t>
      </w:r>
    </w:p>
    <w:p>
      <w:pPr>
        <w:pStyle w:val="BodyText"/>
      </w:pPr>
      <w:r>
        <w:t xml:space="preserve">At the same time, intelligence must remain subordinate to stewardship. The purpose of intelligent systems should be to assist human communities in the management of reciprocal exchange, not to replace human judgment, local governance, or moral responsibility.</w:t>
      </w:r>
    </w:p>
    <w:p>
      <w:pPr>
        <w:pStyle w:val="BodyText"/>
      </w:pPr>
      <w:r>
        <w:t xml:space="preserve">Artificial intelligence may help optimize exchange, but it cannot itself determine what constitutes justice, fairness, stewardship, or the common good. Those questions remain fundamentally human questions.</w:t>
      </w:r>
    </w:p>
    <w:p>
      <w:pPr>
        <w:pStyle w:val="BodyText"/>
      </w:pPr>
      <w:r>
        <w:t xml:space="preserve">The danger lies in allowing automated systems to become detached from the real economic and social relationships upon which trust depends. Exchange ultimately rests not upon algorithms alone, but upon integrity, redemption, accountability, and the willingness of participants to honor their obligations.</w:t>
      </w:r>
    </w:p>
    <w:p>
      <w:pPr>
        <w:pStyle w:val="BodyText"/>
      </w:pPr>
      <w:r>
        <w:t xml:space="preserve">If properly governed, intelligent systems may help communities scale reciprocal exchange networks far beyond what was previously possible. If improperly governed, they may simply become new instruments of centralized control, surveillance, manipulation, and economic exclusion.</w:t>
      </w:r>
    </w:p>
    <w:p>
      <w:pPr>
        <w:pStyle w:val="BodyText"/>
      </w:pPr>
      <w:r>
        <w:t xml:space="preserve">The challenge, therefore, is not merely to build intelligent systems, but to ensure that intelligence remains transparent, accountable, bounded by clearly defined authority, and permanently subordinate to human stewardship and the common good.</w:t>
      </w:r>
    </w:p>
    <w:p>
      <w:r>
        <w:pict>
          <v:rect style="width:0;height:1.5pt" o:hralign="center" o:hrstd="t" o:hr="t"/>
        </w:pict>
      </w:r>
    </w:p>
    <w:bookmarkEnd w:id="22"/>
    <w:bookmarkStart w:id="23" w:name="Xc62f21dbf57a4d4cbfee30c3e279238b0d295cf"/>
    <w:p>
      <w:pPr>
        <w:pStyle w:val="Heading2"/>
      </w:pPr>
      <w:r>
        <w:t xml:space="preserve">Section 4 — The Human Element: Guarding Against Acquired Artificial Stupidity</w:t>
      </w:r>
    </w:p>
    <w:p>
      <w:pPr>
        <w:pStyle w:val="FirstParagraph"/>
      </w:pPr>
      <w:r>
        <w:t xml:space="preserve">While intelligent systems may help optimize reciprocal exchange, we must remain vigilant against what might be called</w:t>
      </w:r>
      <w:r>
        <w:t xml:space="preserve"> </w:t>
      </w:r>
      <w:r>
        <w:t xml:space="preserve">“Acquired Artificial Stupidity.”</w:t>
      </w:r>
      <w:r>
        <w:t xml:space="preserve"> </w:t>
      </w:r>
      <w:r>
        <w:t xml:space="preserve">This danger does not arise primarily from machines becoming too intelligent, but from their becoming detached from sound principles, trustworthy information, human judgment, and moral accountability.</w:t>
      </w:r>
    </w:p>
    <w:p>
      <w:pPr>
        <w:pStyle w:val="BodyText"/>
      </w:pPr>
      <w:r>
        <w:t xml:space="preserve">Any automated system is shaped by the assumptions, incentives, limitations, and biases embedded within it by its designers and operators. If the underlying premises are distorted, centralized, manipulative, or extractive, then even highly sophisticated systems may produce outcomes that are irrational, unjust, or destructive to the common good.</w:t>
      </w:r>
    </w:p>
    <w:p>
      <w:pPr>
        <w:pStyle w:val="BodyText"/>
      </w:pPr>
      <w:r>
        <w:t xml:space="preserve">The danger is especially great when intelligence systems become opaque and unaccountable—when decisions affecting credit, exchange, reputation, or access to economic participation are hidden behind algorithms that ordinary people cannot inspect, challenge, or understand.</w:t>
      </w:r>
    </w:p>
    <w:p>
      <w:pPr>
        <w:pStyle w:val="BodyText"/>
      </w:pPr>
      <w:r>
        <w:t xml:space="preserve">A resilient reciprocal exchange system must therefore rest upon a lawful and transparent order of stewardship.</w:t>
      </w:r>
    </w:p>
    <w:p>
      <w:pPr>
        <w:pStyle w:val="BodyText"/>
      </w:pPr>
      <w:r>
        <w:t xml:space="preserve">At its foundation must be a clearly defined constitutional framework establishing the principles, purposes, limits, and obligations of the system itself. From that constitutional foundation flows legitimate authority, clearly bounded rights and responsibilities, verifiable identity, reciprocal obligation, observable conduct, reputation earned through performance, and ultimately the trust upon which all exchange depends.</w:t>
      </w:r>
    </w:p>
    <w:p>
      <w:pPr>
        <w:pStyle w:val="BodyText"/>
      </w:pPr>
      <w:r>
        <w:t xml:space="preserve">Constitution → Authority → Rights → Identity → Obligation → Conduct → Reputation → Trust</w:t>
      </w:r>
    </w:p>
    <w:p>
      <w:pPr>
        <w:pStyle w:val="BodyText"/>
      </w:pPr>
      <w:r>
        <w:t xml:space="preserve">In such a framework, trust is not assigned arbitrarily by centralized institutions or opaque scoring systems. It emerges gradually through observed conduct, fulfilled obligations, transparency, and the demonstrated reliability of participants within the network.</w:t>
      </w:r>
    </w:p>
    <w:p>
      <w:pPr>
        <w:pStyle w:val="BodyText"/>
      </w:pPr>
      <w:r>
        <w:t xml:space="preserve">Likewise, intelligence systems must remain subordinate to this constitutional order rather than operating above it. Their role should be limited to assisting communities in routing obligations, balancing accounts, identifying reciprocal exchange opportunities, and improving the efficiency of clearing processes.</w:t>
      </w:r>
    </w:p>
    <w:p>
      <w:pPr>
        <w:pStyle w:val="BodyText"/>
      </w:pPr>
      <w:r>
        <w:t xml:space="preserve">Artificial systems become dangerous when detached from constitutional order, bounded authority, observable conduct, and human stewardship. The purpose of intelligent systems should not be to replace human judgment, but to support communities in managing complexity while preserving accountability, transparency, local autonomy, and the common good.</w:t>
      </w:r>
    </w:p>
    <w:p>
      <w:pPr>
        <w:pStyle w:val="BodyText"/>
      </w:pPr>
      <w:r>
        <w:t xml:space="preserve">Without such safeguards, automated systems may simply reproduce the same centralized pathologies that characterize the present monetary order—only with greater speed, scale, opacity, and efficiency.</w:t>
      </w:r>
    </w:p>
    <w:p>
      <w:r>
        <w:pict>
          <v:rect style="width:0;height:1.5pt" o:hralign="center" o:hrstd="t" o:hr="t"/>
        </w:pict>
      </w:r>
    </w:p>
    <w:bookmarkEnd w:id="23"/>
    <w:bookmarkStart w:id="24" w:name="section-5-the-real-alternative"/>
    <w:p>
      <w:pPr>
        <w:pStyle w:val="Heading2"/>
      </w:pPr>
      <w:r>
        <w:t xml:space="preserve">Section 5 — The Real Alternative</w:t>
      </w:r>
    </w:p>
    <w:p>
      <w:pPr>
        <w:pStyle w:val="FirstParagraph"/>
      </w:pPr>
      <w:r>
        <w:t xml:space="preserve">If the present monetary system is structurally incapable of providing honest exchange, stable circulation, and equitable access to credit, then the essential question becomes: What practical alternative can replace it?</w:t>
      </w:r>
    </w:p>
    <w:p>
      <w:pPr>
        <w:pStyle w:val="BodyText"/>
      </w:pPr>
      <w:r>
        <w:t xml:space="preserve">The answer does not lie in speculative digital commodities, nor in the continued expansion of centralized political fiat currencies. It lies instead in reclaiming the Credit Commons through systems of reciprocal exchange based upon redeemable claims on real value.</w:t>
      </w:r>
    </w:p>
    <w:p>
      <w:pPr>
        <w:pStyle w:val="BodyText"/>
      </w:pPr>
      <w:r>
        <w:t xml:space="preserve">Invoice factoring provides one important example of how such systems may operate. A producer or seller who has delivered real value into the market possesses a legitimate claim represented by an invoice receivable. Such claims may serve as the basis for the issuance of exchange media grounded in actual productive activity rather than artificial scarcity or political decree.</w:t>
      </w:r>
    </w:p>
    <w:p>
      <w:pPr>
        <w:pStyle w:val="BodyText"/>
      </w:pPr>
      <w:r>
        <w:t xml:space="preserve">But the larger principle extends beyond invoices alone.</w:t>
      </w:r>
    </w:p>
    <w:p>
      <w:pPr>
        <w:pStyle w:val="BodyText"/>
      </w:pPr>
      <w:r>
        <w:t xml:space="preserve">Any verifiable, redeemable claim upon real value may potentially serve as the basis for honest exchange media, provided that the issuer is ready, willing, and able to redeem the claim according to clearly defined terms.</w:t>
      </w:r>
    </w:p>
    <w:p>
      <w:pPr>
        <w:pStyle w:val="BodyText"/>
      </w:pPr>
      <w:r>
        <w:t xml:space="preserve">Such redeemable claims may include:</w:t>
      </w:r>
    </w:p>
    <w:p>
      <w:pPr>
        <w:pStyle w:val="Compact"/>
        <w:numPr>
          <w:ilvl w:val="0"/>
          <w:numId w:val="1001"/>
        </w:numPr>
      </w:pPr>
      <w:r>
        <w:t xml:space="preserve">invoice receivables</w:t>
      </w:r>
    </w:p>
    <w:p>
      <w:pPr>
        <w:pStyle w:val="Compact"/>
        <w:numPr>
          <w:ilvl w:val="0"/>
          <w:numId w:val="1001"/>
        </w:numPr>
      </w:pPr>
      <w:r>
        <w:t xml:space="preserve">inventories of goods ready for sale</w:t>
      </w:r>
    </w:p>
    <w:p>
      <w:pPr>
        <w:pStyle w:val="Compact"/>
        <w:numPr>
          <w:ilvl w:val="0"/>
          <w:numId w:val="1001"/>
        </w:numPr>
      </w:pPr>
      <w:r>
        <w:t xml:space="preserve">warehouse receipts</w:t>
      </w:r>
    </w:p>
    <w:p>
      <w:pPr>
        <w:pStyle w:val="Compact"/>
        <w:numPr>
          <w:ilvl w:val="0"/>
          <w:numId w:val="1001"/>
        </w:numPr>
      </w:pPr>
      <w:r>
        <w:t xml:space="preserve">precious metals held in verified custody</w:t>
      </w:r>
    </w:p>
    <w:p>
      <w:pPr>
        <w:pStyle w:val="Compact"/>
        <w:numPr>
          <w:ilvl w:val="0"/>
          <w:numId w:val="1001"/>
        </w:numPr>
      </w:pPr>
      <w:r>
        <w:t xml:space="preserve">contracted energy production</w:t>
      </w:r>
    </w:p>
    <w:p>
      <w:pPr>
        <w:pStyle w:val="Compact"/>
        <w:numPr>
          <w:ilvl w:val="0"/>
          <w:numId w:val="1001"/>
        </w:numPr>
      </w:pPr>
      <w:r>
        <w:t xml:space="preserve">future service capacity</w:t>
      </w:r>
    </w:p>
    <w:p>
      <w:pPr>
        <w:pStyle w:val="Compact"/>
        <w:numPr>
          <w:ilvl w:val="0"/>
          <w:numId w:val="1001"/>
        </w:numPr>
      </w:pPr>
      <w:r>
        <w:t xml:space="preserve">verified commodity reserves</w:t>
      </w:r>
    </w:p>
    <w:p>
      <w:pPr>
        <w:pStyle w:val="Compact"/>
        <w:numPr>
          <w:ilvl w:val="0"/>
          <w:numId w:val="1001"/>
        </w:numPr>
      </w:pPr>
      <w:r>
        <w:t xml:space="preserve">productive land yield</w:t>
      </w:r>
    </w:p>
    <w:p>
      <w:pPr>
        <w:pStyle w:val="Compact"/>
        <w:numPr>
          <w:ilvl w:val="0"/>
          <w:numId w:val="1001"/>
        </w:numPr>
      </w:pPr>
      <w:r>
        <w:t xml:space="preserve">municipal revenue streams</w:t>
      </w:r>
    </w:p>
    <w:p>
      <w:pPr>
        <w:pStyle w:val="Compact"/>
        <w:numPr>
          <w:ilvl w:val="0"/>
          <w:numId w:val="1001"/>
        </w:numPr>
      </w:pPr>
      <w:r>
        <w:t xml:space="preserve">other forms of demonstrable productive capacity</w:t>
      </w:r>
    </w:p>
    <w:p>
      <w:pPr>
        <w:pStyle w:val="FirstParagraph"/>
      </w:pPr>
      <w:r>
        <w:t xml:space="preserve">The critical issue is not the particular form of the underlying asset or claim, but whether the basis of issue is transparent, verifiable, redeemable, and grounded in real economic value.</w:t>
      </w:r>
    </w:p>
    <w:p>
      <w:pPr>
        <w:pStyle w:val="BodyText"/>
      </w:pPr>
      <w:r>
        <w:t xml:space="preserve">This represents a profound departure from both conventional fiat money and speculative cryptocurrency systems. In such a framework, exchange media are not created through centralized debt expansion, political privilege, or artificial scarcity, but through the voluntary issuance of honest claims arising from real productive activity.</w:t>
      </w:r>
    </w:p>
    <w:p>
      <w:pPr>
        <w:pStyle w:val="BodyText"/>
      </w:pPr>
      <w:r>
        <w:t xml:space="preserve">As these claims circulate through reciprocal exchange networks, they may help communities reduce dependence upon centralized banking structures while strengthening local production, resilience, cooperation, and economic self-determination.</w:t>
      </w:r>
    </w:p>
    <w:p>
      <w:pPr>
        <w:pStyle w:val="BodyText"/>
      </w:pPr>
      <w:r>
        <w:t xml:space="preserve">In this sense, reciprocal exchange systems need not abolish existing currencies in order to become useful. They may instead emerge gradually alongside the present monetary system, providing parallel mechanisms for trade, settlement, liquidity, and cooperation.</w:t>
      </w:r>
    </w:p>
    <w:p>
      <w:pPr>
        <w:pStyle w:val="BodyText"/>
      </w:pPr>
      <w:r>
        <w:t xml:space="preserve">As confidence in such systems grows, networks of producers, communities, municipalities, and regional associations may increasingly federate their exchange relationships into broader systems of reciprocal clearing that remain locally grounded yet globally interoperable.</w:t>
      </w:r>
    </w:p>
    <w:p>
      <w:pPr>
        <w:pStyle w:val="BodyText"/>
      </w:pPr>
      <w:r>
        <w:t xml:space="preserve">The future of honest exchange may therefore lie not in the creation of a single universal currency, but in the development of interconnected networks of redeemable claims rooted in productive capacity, reciprocal confidence, transparent stewardship, and the common good.</w:t>
      </w:r>
    </w:p>
    <w:p>
      <w:r>
        <w:pict>
          <v:rect style="width:0;height:1.5pt" o:hralign="center" o:hrstd="t" o:hr="t"/>
        </w:pict>
      </w:r>
    </w:p>
    <w:bookmarkEnd w:id="24"/>
    <w:bookmarkStart w:id="25" w:name="section-6-the-transition-strategy"/>
    <w:p>
      <w:pPr>
        <w:pStyle w:val="Heading2"/>
      </w:pPr>
      <w:r>
        <w:t xml:space="preserve">Section 6 — The Transition Strategy</w:t>
      </w:r>
    </w:p>
    <w:p>
      <w:pPr>
        <w:pStyle w:val="FirstParagraph"/>
      </w:pPr>
      <w:r>
        <w:t xml:space="preserve">One of the greatest obstacles to meaningful monetary reform has been the widespread assumption that a new exchange system must somehow replace the existing system all at once through political revolution, institutional collapse, or centralized decree.</w:t>
      </w:r>
    </w:p>
    <w:p>
      <w:pPr>
        <w:pStyle w:val="BodyText"/>
      </w:pPr>
      <w:r>
        <w:t xml:space="preserve">But healthy systems rarely emerge in that manner.</w:t>
      </w:r>
    </w:p>
    <w:p>
      <w:pPr>
        <w:pStyle w:val="BodyText"/>
      </w:pPr>
      <w:r>
        <w:t xml:space="preserve">Throughout history, new economic forms have typically developed gradually alongside older forms, growing first where they prove more useful, resilient, trustworthy, and adaptive to human needs.</w:t>
      </w:r>
    </w:p>
    <w:p>
      <w:pPr>
        <w:pStyle w:val="BodyText"/>
      </w:pPr>
      <w:r>
        <w:t xml:space="preserve">The transition toward reciprocal exchange and reclaimed Credit Commons systems is likely to follow a similar path.</w:t>
      </w:r>
    </w:p>
    <w:p>
      <w:pPr>
        <w:pStyle w:val="BodyText"/>
      </w:pPr>
      <w:r>
        <w:t xml:space="preserve">Rather than attempting a sudden abandonment of existing currencies and institutions, communities may instead begin constructing parallel systems of exchange that reduce fragility, strengthen local production, diversify settlement options, and increase economic self-determination.</w:t>
      </w:r>
    </w:p>
    <w:p>
      <w:pPr>
        <w:pStyle w:val="BodyText"/>
      </w:pPr>
      <w:r>
        <w:t xml:space="preserve">At first, such systems may operate only at small scale:</w:t>
      </w:r>
    </w:p>
    <w:p>
      <w:pPr>
        <w:pStyle w:val="Compact"/>
        <w:numPr>
          <w:ilvl w:val="0"/>
          <w:numId w:val="1002"/>
        </w:numPr>
      </w:pPr>
      <w:r>
        <w:t xml:space="preserve">local producer networks</w:t>
      </w:r>
    </w:p>
    <w:p>
      <w:pPr>
        <w:pStyle w:val="Compact"/>
        <w:numPr>
          <w:ilvl w:val="0"/>
          <w:numId w:val="1002"/>
        </w:numPr>
      </w:pPr>
      <w:r>
        <w:t xml:space="preserve">mutual credit clearing circles</w:t>
      </w:r>
    </w:p>
    <w:p>
      <w:pPr>
        <w:pStyle w:val="Compact"/>
        <w:numPr>
          <w:ilvl w:val="0"/>
          <w:numId w:val="1002"/>
        </w:numPr>
      </w:pPr>
      <w:r>
        <w:t xml:space="preserve">regional trade exchanges</w:t>
      </w:r>
    </w:p>
    <w:p>
      <w:pPr>
        <w:pStyle w:val="Compact"/>
        <w:numPr>
          <w:ilvl w:val="0"/>
          <w:numId w:val="1002"/>
        </w:numPr>
      </w:pPr>
      <w:r>
        <w:t xml:space="preserve">redeemable voucher systems</w:t>
      </w:r>
    </w:p>
    <w:p>
      <w:pPr>
        <w:pStyle w:val="Compact"/>
        <w:numPr>
          <w:ilvl w:val="0"/>
          <w:numId w:val="1002"/>
        </w:numPr>
      </w:pPr>
      <w:r>
        <w:t xml:space="preserve">cooperative purchasing arrangements</w:t>
      </w:r>
    </w:p>
    <w:p>
      <w:pPr>
        <w:pStyle w:val="Compact"/>
        <w:numPr>
          <w:ilvl w:val="0"/>
          <w:numId w:val="1002"/>
        </w:numPr>
      </w:pPr>
      <w:r>
        <w:t xml:space="preserve">community settlement networks</w:t>
      </w:r>
    </w:p>
    <w:p>
      <w:pPr>
        <w:pStyle w:val="FirstParagraph"/>
      </w:pPr>
      <w:r>
        <w:t xml:space="preserve">As confidence, experience, and reciprocal trust increase, these networks may gradually federate into broader systems of interoperable exchange while still remaining locally governed and rooted in real productive activity.</w:t>
      </w:r>
    </w:p>
    <w:p>
      <w:pPr>
        <w:pStyle w:val="BodyText"/>
      </w:pPr>
      <w:r>
        <w:t xml:space="preserve">In this way, new systems need not conquer the old; they need only become steadily more useful, trustworthy, resilient, and economically attractive.</w:t>
      </w:r>
    </w:p>
    <w:p>
      <w:pPr>
        <w:pStyle w:val="BodyText"/>
      </w:pPr>
      <w:r>
        <w:t xml:space="preserve">The practical objective is not to eliminate all existing monetary institutions overnight, but to reduce unnecessary dependence upon centralized structures that have become increasingly fragile, extractive, and disconnected from the productive economy.</w:t>
      </w:r>
    </w:p>
    <w:p>
      <w:pPr>
        <w:pStyle w:val="BodyText"/>
      </w:pPr>
      <w:r>
        <w:t xml:space="preserve">At the individual and community level, this transition may involve many small but important steps:</w:t>
      </w:r>
    </w:p>
    <w:p>
      <w:pPr>
        <w:pStyle w:val="Compact"/>
        <w:numPr>
          <w:ilvl w:val="0"/>
          <w:numId w:val="1003"/>
        </w:numPr>
      </w:pPr>
      <w:r>
        <w:t xml:space="preserve">diversifying banking relationships</w:t>
      </w:r>
    </w:p>
    <w:p>
      <w:pPr>
        <w:pStyle w:val="Compact"/>
        <w:numPr>
          <w:ilvl w:val="0"/>
          <w:numId w:val="1003"/>
        </w:numPr>
      </w:pPr>
      <w:r>
        <w:t xml:space="preserve">strengthening local production</w:t>
      </w:r>
    </w:p>
    <w:p>
      <w:pPr>
        <w:pStyle w:val="Compact"/>
        <w:numPr>
          <w:ilvl w:val="0"/>
          <w:numId w:val="1003"/>
        </w:numPr>
      </w:pPr>
      <w:r>
        <w:t xml:space="preserve">reducing debt dependence</w:t>
      </w:r>
    </w:p>
    <w:p>
      <w:pPr>
        <w:pStyle w:val="Compact"/>
        <w:numPr>
          <w:ilvl w:val="0"/>
          <w:numId w:val="1003"/>
        </w:numPr>
      </w:pPr>
      <w:r>
        <w:t xml:space="preserve">developing reciprocal trade relationships</w:t>
      </w:r>
    </w:p>
    <w:p>
      <w:pPr>
        <w:pStyle w:val="Compact"/>
        <w:numPr>
          <w:ilvl w:val="0"/>
          <w:numId w:val="1003"/>
        </w:numPr>
      </w:pPr>
      <w:r>
        <w:t xml:space="preserve">building local clearing circles</w:t>
      </w:r>
    </w:p>
    <w:p>
      <w:pPr>
        <w:pStyle w:val="Compact"/>
        <w:numPr>
          <w:ilvl w:val="0"/>
          <w:numId w:val="1003"/>
        </w:numPr>
      </w:pPr>
      <w:r>
        <w:t xml:space="preserve">creating alternative settlement pathways</w:t>
      </w:r>
    </w:p>
    <w:p>
      <w:pPr>
        <w:pStyle w:val="Compact"/>
        <w:numPr>
          <w:ilvl w:val="0"/>
          <w:numId w:val="1003"/>
        </w:numPr>
      </w:pPr>
      <w:r>
        <w:t xml:space="preserve">preserving liquidity outside single institutional bottlenecks</w:t>
      </w:r>
    </w:p>
    <w:p>
      <w:pPr>
        <w:pStyle w:val="Compact"/>
        <w:numPr>
          <w:ilvl w:val="0"/>
          <w:numId w:val="1003"/>
        </w:numPr>
      </w:pPr>
      <w:r>
        <w:t xml:space="preserve">strengthening community trust and cooperation</w:t>
      </w:r>
    </w:p>
    <w:p>
      <w:pPr>
        <w:pStyle w:val="FirstParagraph"/>
      </w:pPr>
      <w:r>
        <w:t xml:space="preserve">Such measures are neither revolutionary nor illegal. They are simply prudent steps toward greater resilience, autonomy, and economic stability.</w:t>
      </w:r>
    </w:p>
    <w:p>
      <w:pPr>
        <w:pStyle w:val="BodyText"/>
      </w:pPr>
      <w:r>
        <w:t xml:space="preserve">The long-term significance of reciprocal exchange systems lies not merely in their technical design, but in their capacity to restore economic relationships to a more human scale while preserving the freedom of communities to govern their own exchange relationships.</w:t>
      </w:r>
    </w:p>
    <w:p>
      <w:pPr>
        <w:pStyle w:val="BodyText"/>
      </w:pPr>
      <w:r>
        <w:t xml:space="preserve">The future of civilization may ultimately depend not upon finding a single perfect currency, but upon rebuilding systems of reciprocal trust, productive exchange, local stewardship, and economic cooperation that are capable of evolving beyond the increasingly unstable structures of centralized debt-money.</w:t>
      </w:r>
    </w:p>
    <w:p>
      <w:r>
        <w:pict>
          <v:rect style="width:0;height:1.5pt" o:hralign="center" o:hrstd="t" o:hr="t"/>
        </w:pict>
      </w:r>
    </w:p>
    <w:bookmarkEnd w:id="25"/>
    <w:bookmarkStart w:id="26" w:name="closing-reflection"/>
    <w:p>
      <w:pPr>
        <w:pStyle w:val="Heading2"/>
      </w:pPr>
      <w:r>
        <w:t xml:space="preserve">Closing Reflection</w:t>
      </w:r>
    </w:p>
    <w:p>
      <w:pPr>
        <w:pStyle w:val="FirstParagraph"/>
      </w:pPr>
      <w:r>
        <w:t xml:space="preserve">The emerging technologies of the digital age do not automatically solve the money problem. Used improperly, they may simply reinforce the same systems of centralized control, surveillance, manipulation, and extraction that have already brought the present monetary order into crisis.</w:t>
      </w:r>
    </w:p>
    <w:p>
      <w:pPr>
        <w:pStyle w:val="BodyText"/>
      </w:pPr>
      <w:r>
        <w:t xml:space="preserve">Yet if guided by sound principles, transparent stewardship, reciprocal obligation, and redeemable claims grounded in real value, these same tools may help communities reclaim the Credit Commons and build systems of exchange that are more resilient, decentralized, humane, and compatible with the common good.</w:t>
      </w:r>
    </w:p>
    <w:p>
      <w:pPr>
        <w:pStyle w:val="BodyText"/>
      </w:pPr>
      <w:r>
        <w:t xml:space="preserve">The challenge before us is therefore not merely technological, but civilizational.</w:t>
      </w:r>
    </w:p>
    <w:p>
      <w:pPr>
        <w:pStyle w:val="BodyText"/>
      </w:pPr>
      <w:r>
        <w:t xml:space="preserve">The future of exchange will depend ultimately upon whether human communities can once again place honesty above speculation, stewardship above domination, productive capacity above artificial scarcity, and cooperation above centralized control.</w:t>
      </w:r>
    </w:p>
    <w:p>
      <w:pPr>
        <w:pStyle w:val="BodyText"/>
      </w:pPr>
      <w:r>
        <w:t xml:space="preserve">If they can, then the end of money as we have known it may mark not the collapse of civilization, but the beginning of its renewal.</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2026-05-28T14:47:53Z</dcterms:created>
  <dcterms:modified xsi:type="dcterms:W3CDTF">2026-05-28T14:47:53Z</dcterms:modified>
</cp:coreProperties>
</file>

<file path=docProps/custom.xml><?xml version="1.0" encoding="utf-8"?>
<Properties xmlns="http://schemas.openxmlformats.org/officeDocument/2006/custom-properties" xmlns:vt="http://schemas.openxmlformats.org/officeDocument/2006/docPropsVTypes"/>
</file>