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FB789">
      <w:pPr>
        <w:spacing w:after="80"/>
        <w:jc w:val="center"/>
      </w:pPr>
      <w:r>
        <w:rPr>
          <w:rFonts w:ascii="PingFang SC" w:hAnsi="PingFang SC" w:eastAsia="PingFang SC" w:cs="PingFang SC"/>
          <w:b/>
          <w:bCs/>
          <w:color w:val="0F172A"/>
          <w:sz w:val="44"/>
          <w:szCs w:val="44"/>
        </w:rPr>
        <w:t>SU Takeoff</w:t>
      </w:r>
    </w:p>
    <w:p w14:paraId="440B846E">
      <w:pPr>
        <w:spacing w:after="60"/>
        <w:jc w:val="center"/>
      </w:pPr>
      <w:r>
        <w:rPr>
          <w:rFonts w:ascii="PingFang SC" w:hAnsi="PingFang SC" w:eastAsia="PingFang SC" w:cs="PingFang SC"/>
          <w:color w:val="475569"/>
          <w:sz w:val="28"/>
          <w:szCs w:val="28"/>
        </w:rPr>
        <w:t>SketchUp 装修算量与供应链报价工具</w:t>
      </w:r>
      <w:bookmarkStart w:id="0" w:name="_GoBack"/>
      <w:bookmarkEnd w:id="0"/>
    </w:p>
    <w:p w14:paraId="10D638CB">
      <w:pPr>
        <w:spacing w:after="80"/>
      </w:pPr>
    </w:p>
    <w:p w14:paraId="6657E5B4">
      <w:pPr>
        <w:pStyle w:val="2"/>
        <w:spacing w:before="360" w:after="160"/>
      </w:pPr>
      <w:r>
        <w:rPr>
          <w:rFonts w:ascii="PingFang SC" w:hAnsi="PingFang SC" w:eastAsia="PingFang SC" w:cs="PingFang SC"/>
          <w:b/>
          <w:bCs/>
          <w:color w:val="1E3A5F"/>
          <w:sz w:val="32"/>
          <w:szCs w:val="32"/>
        </w:rPr>
        <w:t>一、产品概述</w:t>
      </w:r>
    </w:p>
    <w:p w14:paraId="1F625AB2">
      <w:pPr>
        <w:spacing w:after="120" w:line="360" w:lineRule="auto"/>
      </w:pPr>
      <w:r>
        <w:rPr>
          <w:rFonts w:ascii="PingFang SC" w:hAnsi="PingFang SC" w:eastAsia="PingFang SC" w:cs="PingFang SC"/>
          <w:b/>
          <w:bCs/>
          <w:sz w:val="22"/>
          <w:szCs w:val="22"/>
        </w:rPr>
        <w:t>SU Takeoff</w:t>
      </w:r>
      <w:r>
        <w:rPr>
          <w:rFonts w:ascii="PingFang SC" w:hAnsi="PingFang SC" w:eastAsia="PingFang SC" w:cs="PingFang SC"/>
          <w:sz w:val="22"/>
          <w:szCs w:val="22"/>
        </w:rPr>
        <w:t xml:space="preserve"> 是一款运行于 SketchUp 内部的装修用量统计与报价插件。它直接读取设计师已经建好的 SU 模型，自动识别模型中的面、构件与容器，按 </w:t>
      </w:r>
      <w:r>
        <w:rPr>
          <w:rFonts w:ascii="PingFang SC" w:hAnsi="PingFang SC" w:eastAsia="PingFang SC" w:cs="PingFang SC"/>
          <w:b/>
          <w:bCs/>
          <w:sz w:val="22"/>
          <w:szCs w:val="22"/>
        </w:rPr>
        <w:t>面积（m²）/ 长度（m）/ 体积（m³）/ 件数（个）</w:t>
      </w:r>
      <w:r>
        <w:rPr>
          <w:rFonts w:ascii="PingFang SC" w:hAnsi="PingFang SC" w:eastAsia="PingFang SC" w:cs="PingFang SC"/>
          <w:sz w:val="22"/>
          <w:szCs w:val="22"/>
        </w:rPr>
        <w:t xml:space="preserve"> 四种计量方式产出结构化用量报表，并在此基础上对接供应链平台，将用量直接转化为可落地的物料选型与精准报价。</w:t>
      </w:r>
    </w:p>
    <w:p w14:paraId="3FF45089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 xml:space="preserve">产品的核心设计理念是 </w:t>
      </w:r>
      <w:r>
        <w:rPr>
          <w:rFonts w:ascii="PingFang SC" w:hAnsi="PingFang SC" w:eastAsia="PingFang SC" w:cs="PingFang SC"/>
          <w:b/>
          <w:bCs/>
          <w:sz w:val="22"/>
          <w:szCs w:val="22"/>
        </w:rPr>
        <w:t>「几何由模型负责，规则由配置负责」</w:t>
      </w:r>
      <w:r>
        <w:rPr>
          <w:rFonts w:ascii="PingFang SC" w:hAnsi="PingFang SC" w:eastAsia="PingFang SC" w:cs="PingFang SC"/>
          <w:sz w:val="22"/>
          <w:szCs w:val="22"/>
        </w:rPr>
        <w:t>：模型提供准确的三维几何，插件提供清晰、可见、可调的算量规则。每一项算量结果都能追溯到它的判定依据，做到</w:t>
      </w:r>
      <w:r>
        <w:rPr>
          <w:rFonts w:ascii="PingFang SC" w:hAnsi="PingFang SC" w:eastAsia="PingFang SC" w:cs="PingFang SC"/>
          <w:b/>
          <w:bCs/>
          <w:sz w:val="22"/>
          <w:szCs w:val="22"/>
        </w:rPr>
        <w:t>算得准、看得懂、改得动</w:t>
      </w:r>
      <w:r>
        <w:rPr>
          <w:rFonts w:ascii="PingFang SC" w:hAnsi="PingFang SC" w:eastAsia="PingFang SC" w:cs="PingFang SC"/>
          <w:sz w:val="22"/>
          <w:szCs w:val="22"/>
        </w:rPr>
        <w:t>。</w:t>
      </w:r>
    </w:p>
    <w:p w14:paraId="0DAA5446">
      <w:pPr>
        <w:pStyle w:val="2"/>
        <w:spacing w:before="360" w:after="160"/>
      </w:pPr>
      <w:r>
        <w:rPr>
          <w:rFonts w:ascii="PingFang SC" w:hAnsi="PingFang SC" w:eastAsia="PingFang SC" w:cs="PingFang SC"/>
          <w:b/>
          <w:bCs/>
          <w:color w:val="1E3A5F"/>
          <w:sz w:val="32"/>
          <w:szCs w:val="32"/>
        </w:rPr>
        <w:t>二、核心功能</w:t>
      </w:r>
    </w:p>
    <w:p w14:paraId="5949DFBC">
      <w:pPr>
        <w:spacing w:before="160" w:after="160"/>
        <w:jc w:val="center"/>
      </w:pPr>
      <w:r>
        <w:drawing>
          <wp:inline distT="0" distB="0" distL="0" distR="0">
            <wp:extent cx="4572000" cy="2667000"/>
            <wp:effectExtent l="0" t="0" r="0" b="0"/>
            <wp:docPr id="1" name="screenshot" descr="产品截图" title="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 descr="产品截图" title="截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E1B8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1. 模型扫描与自动算量</w:t>
      </w:r>
    </w:p>
    <w:p w14:paraId="04895EE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一键扫描整个模型，或仅针对选中部分进行局部算量。</w:t>
      </w:r>
    </w:p>
    <w:p w14:paraId="04CA7D4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递归遍历模型的组件层级，自动收集面、组件实例与实体，无需人工逐个点选。</w:t>
      </w:r>
    </w:p>
    <w:p w14:paraId="6C66A74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扫描结果实时汇总，模型修改后重新扫描即可得到最新用量，告别手工量尺与重复统计。</w:t>
      </w:r>
    </w:p>
    <w:p w14:paraId="28139559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2. 四种计量方式</w:t>
      </w:r>
    </w:p>
    <w:p w14:paraId="114159A8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>同一套模型可同时产出四类工程量，覆盖装修算量的主要场景：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3"/>
        <w:gridCol w:w="1993"/>
        <w:gridCol w:w="5340"/>
      </w:tblGrid>
      <w:tr w14:paraId="1990B22D"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1F5F9"/>
          </w:tcPr>
          <w:p w14:paraId="7DD0285E">
            <w:r>
              <w:rPr>
                <w:rFonts w:ascii="PingFang SC" w:hAnsi="PingFang SC" w:eastAsia="PingFang SC" w:cs="PingFang SC"/>
                <w:b/>
                <w:bCs/>
                <w:sz w:val="20"/>
                <w:szCs w:val="20"/>
              </w:rPr>
              <w:t>计量方式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1F5F9"/>
          </w:tcPr>
          <w:p w14:paraId="37360FEE">
            <w:r>
              <w:rPr>
                <w:rFonts w:ascii="PingFang SC" w:hAnsi="PingFang SC" w:eastAsia="PingFang SC" w:cs="PingFang SC"/>
                <w:b/>
                <w:bCs/>
                <w:sz w:val="20"/>
                <w:szCs w:val="20"/>
              </w:rPr>
              <w:t>单位</w:t>
            </w:r>
          </w:p>
        </w:tc>
        <w:tc>
          <w:tcPr>
            <w:tcW w:w="5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1F5F9"/>
          </w:tcPr>
          <w:p w14:paraId="72D98CA4">
            <w:r>
              <w:rPr>
                <w:rFonts w:ascii="PingFang SC" w:hAnsi="PingFang SC" w:eastAsia="PingFang SC" w:cs="PingFang SC"/>
                <w:b/>
                <w:bCs/>
                <w:sz w:val="20"/>
                <w:szCs w:val="20"/>
              </w:rPr>
              <w:t>典型对象</w:t>
            </w:r>
          </w:p>
        </w:tc>
      </w:tr>
      <w:tr w14:paraId="69E631A1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</w:tcPr>
          <w:p w14:paraId="141510CA">
            <w:r>
              <w:rPr>
                <w:rFonts w:ascii="PingFang SC" w:hAnsi="PingFang SC" w:eastAsia="PingFang SC" w:cs="PingFang SC"/>
                <w:sz w:val="20"/>
                <w:szCs w:val="20"/>
              </w:rPr>
              <w:t>面积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</w:tcPr>
          <w:p w14:paraId="3B2D6718">
            <w:r>
              <w:rPr>
                <w:rFonts w:ascii="PingFang SC" w:hAnsi="PingFang SC" w:eastAsia="PingFang SC" w:cs="PingFang SC"/>
                <w:sz w:val="20"/>
                <w:szCs w:val="20"/>
              </w:rPr>
              <w:t>m²</w:t>
            </w:r>
          </w:p>
        </w:tc>
        <w:tc>
          <w:tcPr>
            <w:tcW w:w="5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</w:tcPr>
          <w:p w14:paraId="402160F7">
            <w:r>
              <w:rPr>
                <w:rFonts w:ascii="PingFang SC" w:hAnsi="PingFang SC" w:eastAsia="PingFang SC" w:cs="PingFang SC"/>
                <w:sz w:val="20"/>
                <w:szCs w:val="20"/>
              </w:rPr>
              <w:t>墙面、地面、天花、饰面板</w:t>
            </w:r>
          </w:p>
        </w:tc>
      </w:tr>
      <w:tr w14:paraId="50E2D18C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</w:tcPr>
          <w:p w14:paraId="10DE2300">
            <w:r>
              <w:rPr>
                <w:rFonts w:ascii="PingFang SC" w:hAnsi="PingFang SC" w:eastAsia="PingFang SC" w:cs="PingFang SC"/>
                <w:sz w:val="20"/>
                <w:szCs w:val="20"/>
              </w:rPr>
              <w:t>长度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</w:tcPr>
          <w:p w14:paraId="6201BA89">
            <w:r>
              <w:rPr>
                <w:rFonts w:ascii="PingFang SC" w:hAnsi="PingFang SC" w:eastAsia="PingFang SC" w:cs="PingFang SC"/>
                <w:sz w:val="20"/>
                <w:szCs w:val="20"/>
              </w:rPr>
              <w:t>m</w:t>
            </w:r>
          </w:p>
        </w:tc>
        <w:tc>
          <w:tcPr>
            <w:tcW w:w="5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</w:tcPr>
          <w:p w14:paraId="72A7BEDD">
            <w:r>
              <w:rPr>
                <w:rFonts w:ascii="PingFang SC" w:hAnsi="PingFang SC" w:eastAsia="PingFang SC" w:cs="PingFang SC"/>
                <w:sz w:val="20"/>
                <w:szCs w:val="20"/>
              </w:rPr>
              <w:t>踢脚线、收边条、龙骨、电线、管材</w:t>
            </w:r>
          </w:p>
        </w:tc>
      </w:tr>
      <w:tr w14:paraId="2A035B40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</w:tcPr>
          <w:p w14:paraId="1B31A69B">
            <w:r>
              <w:rPr>
                <w:rFonts w:ascii="PingFang SC" w:hAnsi="PingFang SC" w:eastAsia="PingFang SC" w:cs="PingFang SC"/>
                <w:sz w:val="20"/>
                <w:szCs w:val="20"/>
              </w:rPr>
              <w:t>体积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</w:tcPr>
          <w:p w14:paraId="6DF0ACE4">
            <w:r>
              <w:rPr>
                <w:rFonts w:ascii="PingFang SC" w:hAnsi="PingFang SC" w:eastAsia="PingFang SC" w:cs="PingFang SC"/>
                <w:sz w:val="20"/>
                <w:szCs w:val="20"/>
              </w:rPr>
              <w:t>m³</w:t>
            </w:r>
          </w:p>
        </w:tc>
        <w:tc>
          <w:tcPr>
            <w:tcW w:w="5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</w:tcPr>
          <w:p w14:paraId="6CBF83ED">
            <w:r>
              <w:rPr>
                <w:rFonts w:ascii="PingFang SC" w:hAnsi="PingFang SC" w:eastAsia="PingFang SC" w:cs="PingFang SC"/>
                <w:sz w:val="20"/>
                <w:szCs w:val="20"/>
              </w:rPr>
              <w:t>砌体墙、现浇柱梁、保温层</w:t>
            </w:r>
          </w:p>
        </w:tc>
      </w:tr>
      <w:tr w14:paraId="1E553FD2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</w:tcPr>
          <w:p w14:paraId="01FE1A2B">
            <w:r>
              <w:rPr>
                <w:rFonts w:ascii="PingFang SC" w:hAnsi="PingFang SC" w:eastAsia="PingFang SC" w:cs="PingFang SC"/>
                <w:sz w:val="20"/>
                <w:szCs w:val="20"/>
              </w:rPr>
              <w:t>件数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</w:tcPr>
          <w:p w14:paraId="1D6E025C">
            <w:r>
              <w:rPr>
                <w:rFonts w:ascii="PingFang SC" w:hAnsi="PingFang SC" w:eastAsia="PingFang SC" w:cs="PingFang SC"/>
                <w:sz w:val="20"/>
                <w:szCs w:val="20"/>
              </w:rPr>
              <w:t>个 / 套</w:t>
            </w:r>
          </w:p>
        </w:tc>
        <w:tc>
          <w:tcPr>
            <w:tcW w:w="5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</w:tcPr>
          <w:p w14:paraId="0675FA08">
            <w:r>
              <w:rPr>
                <w:rFonts w:ascii="PingFang SC" w:hAnsi="PingFang SC" w:eastAsia="PingFang SC" w:cs="PingFang SC"/>
                <w:sz w:val="20"/>
                <w:szCs w:val="20"/>
              </w:rPr>
              <w:t>灯具、开关、洁具、五金</w:t>
            </w:r>
          </w:p>
        </w:tc>
      </w:tr>
    </w:tbl>
    <w:p w14:paraId="72DD9531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>支持</w:t>
      </w:r>
      <w:r>
        <w:rPr>
          <w:rFonts w:ascii="PingFang SC" w:hAnsi="PingFang SC" w:eastAsia="PingFang SC" w:cs="PingFang SC"/>
          <w:b/>
          <w:bCs/>
          <w:sz w:val="22"/>
          <w:szCs w:val="22"/>
        </w:rPr>
        <w:t>组合计量</w:t>
      </w:r>
      <w:r>
        <w:rPr>
          <w:rFonts w:ascii="PingFang SC" w:hAnsi="PingFang SC" w:eastAsia="PingFang SC" w:cs="PingFang SC"/>
          <w:sz w:val="22"/>
          <w:szCs w:val="22"/>
        </w:rPr>
        <w:t>：同一构件可同时产出多种工程量（例如线灯既统计「套数」又统计「长度」）。</w:t>
      </w:r>
    </w:p>
    <w:p w14:paraId="0AAD5167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3. 4+1 档算量策略决议</w:t>
      </w:r>
    </w:p>
    <w:p w14:paraId="4F7940AB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>这是保证算量</w:t>
      </w:r>
      <w:r>
        <w:rPr>
          <w:rFonts w:ascii="PingFang SC" w:hAnsi="PingFang SC" w:eastAsia="PingFang SC" w:cs="PingFang SC"/>
          <w:b/>
          <w:bCs/>
          <w:sz w:val="22"/>
          <w:szCs w:val="22"/>
        </w:rPr>
        <w:t>准确可控</w:t>
      </w:r>
      <w:r>
        <w:rPr>
          <w:rFonts w:ascii="PingFang SC" w:hAnsi="PingFang SC" w:eastAsia="PingFang SC" w:cs="PingFang SC"/>
          <w:sz w:val="22"/>
          <w:szCs w:val="22"/>
        </w:rPr>
        <w:t>的核心机制。插件按以下优先级判定每个构件的计量方式，任意一档命中即生效：</w:t>
      </w:r>
    </w:p>
    <w:p w14:paraId="5A1C4CC9">
      <w:pPr>
        <w:shd w:val="clear" w:fill="F1F5F9"/>
        <w:spacing w:after="80" w:line="300" w:lineRule="auto"/>
        <w:ind w:left="360"/>
      </w:pPr>
      <w:r>
        <w:rPr>
          <w:rFonts w:ascii="SF Mono" w:hAnsi="SF Mono" w:eastAsia="SF Mono" w:cs="SF Mono"/>
          <w:color w:val="1E293B"/>
          <w:sz w:val="18"/>
          <w:szCs w:val="18"/>
        </w:rPr>
        <w:t>1. 右键标签       在 SU 视口对单个对象显式指定，跟随模型文件保存，优先级最高</w:t>
      </w:r>
    </w:p>
    <w:p w14:paraId="5C081FB4">
      <w:pPr>
        <w:shd w:val="clear" w:fill="F1F5F9"/>
        <w:spacing w:after="80" w:line="300" w:lineRule="auto"/>
        <w:ind w:left="360"/>
      </w:pPr>
      <w:r>
        <w:rPr>
          <w:rFonts w:ascii="SF Mono" w:hAnsi="SF Mono" w:eastAsia="SF Mono" w:cs="SF Mono"/>
          <w:color w:val="1E293B"/>
          <w:sz w:val="18"/>
          <w:szCs w:val="18"/>
        </w:rPr>
        <w:t>2. 图层规则       按图层统一配置（如「线条 → 长度」「砌体 → 体积」）</w:t>
      </w:r>
    </w:p>
    <w:p w14:paraId="1DFA26DF">
      <w:pPr>
        <w:shd w:val="clear" w:fill="F1F5F9"/>
        <w:spacing w:after="80" w:line="300" w:lineRule="auto"/>
        <w:ind w:left="360"/>
      </w:pPr>
      <w:r>
        <w:rPr>
          <w:rFonts w:ascii="SF Mono" w:hAnsi="SF Mono" w:eastAsia="SF Mono" w:cs="SF Mono"/>
          <w:color w:val="1E293B"/>
          <w:sz w:val="18"/>
          <w:szCs w:val="18"/>
        </w:rPr>
        <w:t>3. 材质映射       由材料本身的单位反推计量方式</w:t>
      </w:r>
    </w:p>
    <w:p w14:paraId="3E7A304B">
      <w:pPr>
        <w:shd w:val="clear" w:fill="F1F5F9"/>
        <w:spacing w:after="80" w:line="300" w:lineRule="auto"/>
        <w:ind w:left="360"/>
      </w:pPr>
      <w:r>
        <w:rPr>
          <w:rFonts w:ascii="SF Mono" w:hAnsi="SF Mono" w:eastAsia="SF Mono" w:cs="SF Mono"/>
          <w:color w:val="1E293B"/>
          <w:sz w:val="18"/>
          <w:szCs w:val="18"/>
        </w:rPr>
        <w:t>4. 策略自动匹配   按构件命名约定自动识别（如踢脚线、电线、管材）</w:t>
      </w:r>
    </w:p>
    <w:p w14:paraId="4635671D">
      <w:pPr>
        <w:shd w:val="clear" w:fill="F1F5F9"/>
        <w:spacing w:after="80" w:line="300" w:lineRule="auto"/>
        <w:ind w:left="360"/>
      </w:pPr>
      <w:r>
        <w:rPr>
          <w:rFonts w:ascii="SF Mono" w:hAnsi="SF Mono" w:eastAsia="SF Mono" w:cs="SF Mono"/>
          <w:color w:val="1E293B"/>
          <w:sz w:val="18"/>
          <w:szCs w:val="18"/>
        </w:rPr>
        <w:t>5. 几何启发式     自动识别窄长面为线材，仅作「待确认建议」，不擅自改结果</w:t>
      </w:r>
    </w:p>
    <w:p w14:paraId="3BD7FB43">
      <w:pPr>
        <w:spacing w:after="120" w:line="360" w:lineRule="auto"/>
      </w:pPr>
      <w:r>
        <w:rPr>
          <w:rFonts w:ascii="PingFang SC" w:hAnsi="PingFang SC" w:eastAsia="PingFang SC" w:cs="PingFang SC"/>
          <w:b/>
          <w:bCs/>
          <w:sz w:val="22"/>
          <w:szCs w:val="22"/>
        </w:rPr>
        <w:t>显式优于隐式</w:t>
      </w:r>
      <w:r>
        <w:rPr>
          <w:rFonts w:ascii="PingFang SC" w:hAnsi="PingFang SC" w:eastAsia="PingFang SC" w:cs="PingFang SC"/>
          <w:sz w:val="22"/>
          <w:szCs w:val="22"/>
        </w:rPr>
        <w:t>：几何启发产生的只是带「待确认」标记的建议（视图中以橙色边框提示），由用户确认后才会成为正式结果，确保没有任何用量是「悄悄被改写」的。</w:t>
      </w:r>
    </w:p>
    <w:p w14:paraId="3D117325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4. 多维度分组报表</w:t>
      </w:r>
    </w:p>
    <w:p w14:paraId="767D99CA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>用量结果可按多个维度组织与查看：</w:t>
      </w:r>
    </w:p>
    <w:p w14:paraId="6324A14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按组件层级：树形结构，逐级展开，与模型的组织方式一致。</w:t>
      </w:r>
    </w:p>
    <w:p w14:paraId="4A6E693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按空间：自动识别空间归属（如「主卧」「客厅」），便于分房间核算。</w:t>
      </w:r>
    </w:p>
    <w:p w14:paraId="6D299C9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按部位：依据面朝向自动划分地面 / 墙面 / 天花。</w:t>
      </w:r>
    </w:p>
    <w:p w14:paraId="0BC0067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按材料与规格：按材料分类汇总，并进一步按规格（如板材的宽×高）分组。</w:t>
      </w:r>
    </w:p>
    <w:p w14:paraId="3CC2FA7F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5. 材料与组件映射</w:t>
      </w:r>
    </w:p>
    <w:p w14:paraId="48FED29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材料映射：将 SketchUp 中的材质名对应到真实材料，维护其分类、单位与规格；支持 JSON 持久化与 CSV 批量导入 / 导出。</w:t>
      </w:r>
    </w:p>
    <w:p w14:paraId="1D681C5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组件映射：将组件对应到真实材料。「整件」模式按个数统计（灯具、开关），「展开」模式展开统计其面材用量。</w:t>
      </w:r>
    </w:p>
    <w:p w14:paraId="12DFC5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支持维护「忽略材料」清单，过滤无需算量的辅助材质。</w:t>
      </w:r>
    </w:p>
    <w:p w14:paraId="25488A83">
      <w:pPr>
        <w:spacing w:before="160" w:after="160"/>
        <w:jc w:val="center"/>
      </w:pPr>
      <w:r>
        <w:drawing>
          <wp:inline distT="0" distB="0" distL="0" distR="0">
            <wp:extent cx="4572000" cy="2667000"/>
            <wp:effectExtent l="0" t="0" r="0" b="0"/>
            <wp:docPr id="2" name="screenshot" descr="产品截图" title="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" descr="产品截图" title="截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1518">
      <w:pPr>
        <w:spacing w:before="160" w:after="160"/>
        <w:jc w:val="center"/>
      </w:pPr>
      <w:r>
        <w:drawing>
          <wp:inline distT="0" distB="0" distL="0" distR="0">
            <wp:extent cx="4572000" cy="2667000"/>
            <wp:effectExtent l="0" t="0" r="0" b="0"/>
            <wp:docPr id="3" name="screenshot" descr="产品截图" title="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" descr="产品截图" title="截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0EB0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6. 专业长度算法库</w:t>
      </w:r>
    </w:p>
    <w:p w14:paraId="44DF877E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>针对线性构件的复杂性，内置多套长度计算算法并按场景自动选用：</w:t>
      </w:r>
    </w:p>
    <w:p w14:paraId="198F4AB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体积法：由实体体积与截面尺寸反推长度，适合闭合实体的条状构件。</w:t>
      </w:r>
    </w:p>
    <w:p w14:paraId="2D6B187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边线法：沿构件各方向最长边累加，适合踢脚线、收边条。</w:t>
      </w:r>
    </w:p>
    <w:p w14:paraId="3F2A1B9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路径累加法：直接累加边线路径，适合电线、管道折线。</w:t>
      </w:r>
    </w:p>
    <w:p w14:paraId="399DD0E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分段路径法：专为「3D 虚线渲染」建模的电线 / 管材设计，能正确处理重复段叠加的模型，得出真实路径长度。</w:t>
      </w:r>
    </w:p>
    <w:p w14:paraId="0238C7BB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7. 门窗洞口扣减与薄板去重</w:t>
      </w:r>
    </w:p>
    <w:p w14:paraId="2C84C01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洞口扣减：自动识别门窗洞口（透明材质或以「门 / 窗」命名的组件），从墙面净面积中扣除。</w:t>
      </w:r>
    </w:p>
    <w:p w14:paraId="0791A8E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薄板去重：楼板 / 天花的双面仅保留朝向居住空间的一面；散面建模的踢脚线背靠背两面自动去重，避免同一构件被重复计算。</w:t>
      </w:r>
    </w:p>
    <w:p w14:paraId="1EC31009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8. 可视化交互与数据导出</w:t>
      </w:r>
    </w:p>
    <w:p w14:paraId="1DA52F0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树形组件视图，支持搜索、展开折叠、空容器与隐藏项过滤、相同组件合并。</w:t>
      </w:r>
    </w:p>
    <w:p w14:paraId="56B8E78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顶部摘要条实时显示总览统计。</w:t>
      </w:r>
    </w:p>
    <w:p w14:paraId="069A3DF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算量结果与映射表均支持 CSV 导出，便于后续对账、归档或导入其他系统。</w:t>
      </w:r>
    </w:p>
    <w:p w14:paraId="7381B5AF">
      <w:pPr>
        <w:pStyle w:val="2"/>
        <w:spacing w:before="360" w:after="160"/>
      </w:pPr>
      <w:r>
        <w:rPr>
          <w:rFonts w:ascii="PingFang SC" w:hAnsi="PingFang SC" w:eastAsia="PingFang SC" w:cs="PingFang SC"/>
          <w:b/>
          <w:bCs/>
          <w:color w:val="1E3A5F"/>
          <w:sz w:val="32"/>
          <w:szCs w:val="32"/>
        </w:rPr>
        <w:t>三、供应链协同与精准报价</w:t>
      </w:r>
    </w:p>
    <w:p w14:paraId="5991E3F1">
      <w:pPr>
        <w:spacing w:after="120" w:line="360" w:lineRule="auto"/>
      </w:pPr>
      <w:r>
        <w:rPr>
          <w:rFonts w:ascii="PingFang SC" w:hAnsi="PingFang SC" w:eastAsia="PingFang SC" w:cs="PingFang SC"/>
          <w:sz w:val="22"/>
          <w:szCs w:val="22"/>
        </w:rPr>
        <w:t>在准确算量的基础上，SU Takeoff 进一步打通从「用量」到「采购」的链路，将工程量直接转化为可执行的物料清单与报价。</w:t>
      </w:r>
    </w:p>
    <w:p w14:paraId="34D00AB4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1. 对接供应链平台</w:t>
      </w:r>
    </w:p>
    <w:p w14:paraId="34DDDF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可对接建材供应链平台与材料商，在插件内直接访问平台物料库。</w:t>
      </w:r>
    </w:p>
    <w:p w14:paraId="0CABF49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支持配置多个供应来源，便于比价与择优。</w:t>
      </w:r>
    </w:p>
    <w:p w14:paraId="5948B71C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2. 物料精准匹配与选型</w:t>
      </w:r>
    </w:p>
    <w:p w14:paraId="76D5EC8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算量结果（材料分类 + 规格）自动关联到平台中的真实物料 SKU。</w:t>
      </w:r>
    </w:p>
    <w:p w14:paraId="14B6897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也支持针对任意用量项手动指定具体物料，满足不同品牌、档次的选型需求。</w:t>
      </w:r>
    </w:p>
    <w:p w14:paraId="12720A1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物料规格与算量规格对齐，减少「算出来的量」与「实际采购型号」之间的偏差。</w:t>
      </w:r>
    </w:p>
    <w:p w14:paraId="7164D5D2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3. 精准报价生成</w:t>
      </w:r>
    </w:p>
    <w:p w14:paraId="180726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以「几何用量 × 物料单价」为基础，叠加材料损耗率，自动计算合价。</w:t>
      </w:r>
    </w:p>
    <w:p w14:paraId="4426D6B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报价可按空间 / 部位 / 材料多维度拆分，形成结构清晰、可核对的报价单。</w:t>
      </w:r>
    </w:p>
    <w:p w14:paraId="19FA07F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设计变更或模型修改后一键重算，用量与报价同步更新，快速响应方案调整。</w:t>
      </w:r>
    </w:p>
    <w:p w14:paraId="437C6455">
      <w:pPr>
        <w:pStyle w:val="3"/>
        <w:spacing w:before="240" w:after="160"/>
      </w:pPr>
      <w:r>
        <w:rPr>
          <w:rFonts w:ascii="PingFang SC" w:hAnsi="PingFang SC" w:eastAsia="PingFang SC" w:cs="PingFang SC"/>
          <w:b/>
          <w:bCs/>
          <w:color w:val="334155"/>
          <w:sz w:val="28"/>
          <w:szCs w:val="28"/>
        </w:rPr>
        <w:t>4. 报价输出</w:t>
      </w:r>
    </w:p>
    <w:p w14:paraId="35339AF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报价清单支持导出，便于提交、审批、采购与对账。</w:t>
      </w:r>
    </w:p>
    <w:p w14:paraId="52750D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用量与报价同源，确保「报价所依的量」与「模型实际的量」始终一致，降低错漏与争议。</w:t>
      </w:r>
    </w:p>
    <w:p w14:paraId="66FF0E75">
      <w:pPr>
        <w:pStyle w:val="2"/>
        <w:spacing w:before="360" w:after="160"/>
      </w:pPr>
      <w:r>
        <w:rPr>
          <w:rFonts w:ascii="PingFang SC" w:hAnsi="PingFang SC" w:eastAsia="PingFang SC" w:cs="PingFang SC"/>
          <w:b/>
          <w:bCs/>
          <w:color w:val="1E3A5F"/>
          <w:sz w:val="32"/>
          <w:szCs w:val="32"/>
        </w:rPr>
        <w:t>四、灵活的配置与规则管理</w:t>
      </w:r>
    </w:p>
    <w:p w14:paraId="66822ED4">
      <w:pPr>
        <w:spacing w:before="160" w:after="160"/>
        <w:jc w:val="center"/>
      </w:pPr>
      <w:r>
        <w:drawing>
          <wp:inline distT="0" distB="0" distL="0" distR="0">
            <wp:extent cx="4572000" cy="2667000"/>
            <wp:effectExtent l="0" t="0" r="0" b="0"/>
            <wp:docPr id="4" name="screenshot" descr="产品截图" title="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" descr="产品截图" title="截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E1F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规则随模型走：右键标签写入模型属性字典，规则随 SKP 文件保存，团队成员打开即是同一套已确认的规则。</w:t>
      </w:r>
    </w:p>
    <w:p w14:paraId="72E61B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配置即时生效：图层规则、单位词表、启发式阈值等均在设置页可视化配置，保存后重新扫描即应用，无需改代码。</w:t>
      </w:r>
    </w:p>
    <w:p w14:paraId="0CE8BE0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清晰的数据优先级：模型属性字典 &gt; 项目配置文件 &gt; 默认值，多层级覆盖关系明确。</w:t>
      </w:r>
    </w:p>
    <w:p w14:paraId="532440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可扩展：计量规则与命名识别策略支持通过配置文件扩展，适配不同企业的算量习惯。</w:t>
      </w:r>
    </w:p>
    <w:p w14:paraId="1CF32DF2">
      <w:pPr>
        <w:pStyle w:val="2"/>
        <w:spacing w:before="360" w:after="160"/>
      </w:pPr>
      <w:r>
        <w:rPr>
          <w:rFonts w:ascii="PingFang SC" w:hAnsi="PingFang SC" w:eastAsia="PingFang SC" w:cs="PingFang SC"/>
          <w:b/>
          <w:bCs/>
          <w:color w:val="1E3A5F"/>
          <w:sz w:val="32"/>
          <w:szCs w:val="32"/>
        </w:rPr>
        <w:t>五、典型应用场景</w:t>
      </w:r>
    </w:p>
    <w:p w14:paraId="759D0C6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装修公司 / 施工方：快速从设计模型产出工程量，用于内部核算、成本控制与投标报价。</w:t>
      </w:r>
    </w:p>
    <w:p w14:paraId="6698374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工程造价 / 预算：得到分空间、分部位、分材料的结构化用量，作为预算编制与对量依据。</w:t>
      </w:r>
    </w:p>
    <w:p w14:paraId="0128743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材料采购：基于用量直接选型并生成报价，打通设计与采购，缩短备料周期。</w:t>
      </w:r>
    </w:p>
    <w:p w14:paraId="47A8C3A0">
      <w:pPr>
        <w:pStyle w:val="2"/>
        <w:spacing w:before="360" w:after="160"/>
      </w:pPr>
      <w:r>
        <w:rPr>
          <w:rFonts w:ascii="PingFang SC" w:hAnsi="PingFang SC" w:eastAsia="PingFang SC" w:cs="PingFang SC"/>
          <w:b/>
          <w:bCs/>
          <w:color w:val="1E3A5F"/>
          <w:sz w:val="32"/>
          <w:szCs w:val="32"/>
        </w:rPr>
        <w:t>六、产品特性</w:t>
      </w:r>
    </w:p>
    <w:p w14:paraId="3CA735A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轻量易用：以 SketchUp 插件形式运行，无需独立建模，直接复用现有设计成果。</w:t>
      </w:r>
    </w:p>
    <w:p w14:paraId="1B882C8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准确可控：四级显式规则 + 待确认机制，算量结果可信、可追溯。</w:t>
      </w:r>
    </w:p>
    <w:p w14:paraId="4CB4222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数据闭环：从几何用量到物料报价同源一体，减少二次录入与人为误差。</w:t>
      </w:r>
    </w:p>
    <w:p w14:paraId="4778D17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PingFang SC" w:hAnsi="PingFang SC" w:eastAsia="PingFang SC" w:cs="PingFang SC"/>
          <w:sz w:val="22"/>
          <w:szCs w:val="22"/>
        </w:rPr>
        <w:t>持续扩展：模块化架构，新增计量方式、识别规则与供应链对接均易于扩展。</w:t>
      </w:r>
    </w:p>
    <w:sectPr>
      <w:headerReference r:id="rId3" w:type="default"/>
      <w:footerReference r:id="rId4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F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03CD2">
    <w:pPr>
      <w:jc w:val="center"/>
    </w:pPr>
    <w:r>
      <w:rPr>
        <w:rFonts w:ascii="PingFang SC" w:hAnsi="PingFang SC" w:eastAsia="PingFang SC" w:cs="PingFang SC"/>
        <w:color w:val="999999"/>
        <w:sz w:val="18"/>
        <w:szCs w:val="18"/>
      </w:rPr>
      <w:t xml:space="preserve">第 </w:t>
    </w:r>
    <w:r>
      <w:rPr>
        <w:rFonts w:ascii="PingFang SC" w:hAnsi="PingFang SC" w:eastAsia="PingFang SC" w:cs="PingFang SC"/>
        <w:color w:val="999999"/>
        <w:sz w:val="18"/>
        <w:szCs w:val="18"/>
      </w:rPr>
      <w:fldChar w:fldCharType="begin"/>
    </w:r>
    <w:r>
      <w:rPr>
        <w:rFonts w:ascii="PingFang SC" w:hAnsi="PingFang SC" w:eastAsia="PingFang SC" w:cs="PingFang SC"/>
        <w:color w:val="999999"/>
        <w:sz w:val="18"/>
        <w:szCs w:val="18"/>
      </w:rPr>
      <w:instrText xml:space="preserve">PAGE</w:instrText>
    </w:r>
    <w:r>
      <w:rPr>
        <w:rFonts w:ascii="PingFang SC" w:hAnsi="PingFang SC" w:eastAsia="PingFang SC" w:cs="PingFang SC"/>
        <w:color w:val="999999"/>
        <w:sz w:val="18"/>
        <w:szCs w:val="18"/>
      </w:rPr>
      <w:fldChar w:fldCharType="separate"/>
    </w:r>
    <w:r>
      <w:rPr>
        <w:rFonts w:ascii="PingFang SC" w:hAnsi="PingFang SC" w:eastAsia="PingFang SC" w:cs="PingFang SC"/>
        <w:color w:val="999999"/>
        <w:sz w:val="18"/>
        <w:szCs w:val="18"/>
      </w:rPr>
      <w:fldChar w:fldCharType="end"/>
    </w:r>
    <w:r>
      <w:rPr>
        <w:rFonts w:ascii="PingFang SC" w:hAnsi="PingFang SC" w:eastAsia="PingFang SC" w:cs="PingFang SC"/>
        <w:color w:val="999999"/>
        <w:sz w:val="18"/>
        <w:szCs w:val="18"/>
      </w:rPr>
      <w:t xml:space="preserve"> 页 / 共 </w:t>
    </w:r>
    <w:r>
      <w:rPr>
        <w:rFonts w:ascii="PingFang SC" w:hAnsi="PingFang SC" w:eastAsia="PingFang SC" w:cs="PingFang SC"/>
        <w:color w:val="999999"/>
        <w:sz w:val="18"/>
        <w:szCs w:val="18"/>
      </w:rPr>
      <w:fldChar w:fldCharType="begin"/>
    </w:r>
    <w:r>
      <w:rPr>
        <w:rFonts w:ascii="PingFang SC" w:hAnsi="PingFang SC" w:eastAsia="PingFang SC" w:cs="PingFang SC"/>
        <w:color w:val="999999"/>
        <w:sz w:val="18"/>
        <w:szCs w:val="18"/>
      </w:rPr>
      <w:instrText xml:space="preserve">NUMPAGES</w:instrText>
    </w:r>
    <w:r>
      <w:rPr>
        <w:rFonts w:ascii="PingFang SC" w:hAnsi="PingFang SC" w:eastAsia="PingFang SC" w:cs="PingFang SC"/>
        <w:color w:val="999999"/>
        <w:sz w:val="18"/>
        <w:szCs w:val="18"/>
      </w:rPr>
      <w:fldChar w:fldCharType="separate"/>
    </w:r>
    <w:r>
      <w:rPr>
        <w:rFonts w:ascii="PingFang SC" w:hAnsi="PingFang SC" w:eastAsia="PingFang SC" w:cs="PingFang SC"/>
        <w:color w:val="999999"/>
        <w:sz w:val="18"/>
        <w:szCs w:val="18"/>
      </w:rPr>
      <w:fldChar w:fldCharType="end"/>
    </w:r>
    <w:r>
      <w:rPr>
        <w:rFonts w:ascii="PingFang SC" w:hAnsi="PingFang SC" w:eastAsia="PingFang SC" w:cs="PingFang SC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3AE26">
    <w:pPr>
      <w:jc w:val="right"/>
    </w:pPr>
    <w:r>
      <w:rPr>
        <w:rFonts w:ascii="PingFang SC" w:hAnsi="PingFang SC" w:eastAsia="PingFang SC" w:cs="PingFang SC"/>
        <w:color w:val="999999"/>
        <w:sz w:val="18"/>
        <w:szCs w:val="18"/>
      </w:rPr>
      <w:t>SU Takeoff 产品功能介绍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370"/>
    <w:multiLevelType w:val="singleLevel"/>
    <w:tmpl w:val="FFFFF370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BD00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PingFang SC" w:hAnsi="PingFang SC" w:eastAsia="PingFang SC" w:cs="PingFang SC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PingFang SC" w:hAnsi="PingFang SC" w:eastAsia="PingFang SC" w:cs="PingFang SC"/>
      <w:b/>
      <w:bCs/>
      <w:color w:val="334155"/>
      <w:sz w:val="26"/>
      <w:szCs w:val="26"/>
    </w:rPr>
  </w:style>
  <w:style w:type="paragraph" w:styleId="4">
    <w:name w:val="heading 3"/>
    <w:next w:val="1"/>
    <w:qFormat/>
    <w:uiPriority w:val="0"/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PingFang SC" w:hAnsi="PingFang SC" w:eastAsia="PingFang SC" w:cs="PingFang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PingFang SC" w:hAnsi="PingFang SC" w:eastAsia="PingFang SC" w:cs="PingFang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PingFang SC" w:hAnsi="PingFang SC" w:eastAsia="PingFang SC" w:cs="PingFang SC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PingFang SC" w:hAnsi="PingFang SC" w:eastAsia="PingFang SC" w:cs="PingFang SC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tony</cp:lastModifiedBy>
  <dcterms:modified xsi:type="dcterms:W3CDTF">2026-07-27T13:34:10Z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E7AE3B147C2DDCC1D2ED666AB7D8D862_42</vt:lpwstr>
  </property>
</Properties>
</file>