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弱转强两阶段系统</w:t>
        <w:br/>
        <w:t>最终方案设计</w:t>
      </w:r>
    </w:p>
    <w:p>
      <w:pPr>
        <w:pStyle w:val="Subtitle"/>
        <w:jc w:val="center"/>
      </w:pPr>
      <w:r>
        <w:t>整合：两阶段系统设计、竞价确认方案、系统优化研究与工程化落地建议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  <w:t>文档版本</w:t>
            </w:r>
          </w:p>
        </w:tc>
        <w:tc>
          <w:tcPr>
            <w:tcW w:type="dxa" w:w="691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D"/>
          </w:tcPr>
          <w:p>
            <w:r>
              <w:t>V1.0 Final</w:t>
            </w:r>
          </w:p>
        </w:tc>
      </w:tr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  <w:t>定位</w:t>
            </w:r>
          </w:p>
        </w:tc>
        <w:tc>
          <w:tcPr>
            <w:tcW w:type="dxa" w:w="691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D"/>
          </w:tcPr>
          <w:p>
            <w:r>
              <w:t>用于指导“盘后候选池 + 盘前竞价确认”的系统设计、字段建模、评分实现与MVP开发</w:t>
            </w:r>
          </w:p>
        </w:tc>
      </w:tr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  <w:t>当前优先级</w:t>
            </w:r>
          </w:p>
        </w:tc>
        <w:tc>
          <w:tcPr>
            <w:tcW w:type="dxa" w:w="691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D"/>
          </w:tcPr>
          <w:p>
            <w:r>
              <w:t>先完成盘后候选池与盘前竞价确认闭环；盘中实时弱转强、LLM审核、完整回测框架作为后续迭代</w:t>
            </w:r>
          </w:p>
        </w:tc>
      </w:tr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  <w:t>适用范围</w:t>
            </w:r>
          </w:p>
        </w:tc>
        <w:tc>
          <w:tcPr>
            <w:tcW w:type="dxa" w:w="691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D"/>
          </w:tcPr>
          <w:p>
            <w:r>
              <w:t>A股短线交易中，围绕强势股/龙头股分歧后的弱转强修复机会</w:t>
            </w:r>
          </w:p>
        </w:tc>
      </w:tr>
    </w:tbl>
    <w:p/>
    <w:p>
      <w:pPr>
        <w:pStyle w:val="Callout"/>
        <w:spacing w:after="160"/>
        <w:ind w:left="170" w:right="170"/>
      </w:pPr>
      <w:r>
        <w:rPr>
          <w:b/>
        </w:rPr>
        <w:t>执行摘要：</w:t>
      </w:r>
      <w:r>
        <w:t>本方案将“弱转强”从单点筛选脚本升级为系统化能力，采用“两阶段事件”架构：T日盘后先做高召回候选池，T+1 盘前以集合竞价做高精度确认。V1 只聚焦这条主链，不做全市场竞价海选，也不直接上复杂模型；先以规则型MVP打通数据、评分、解释与提示链路，再逐步扩展到开盘后5分钟确认、盘中回流识别、LLM证据审核与历史回放校准。</w:t>
      </w:r>
    </w:p>
    <w:p>
      <w:pPr>
        <w:pStyle w:val="Heading1"/>
        <w:keepNext/>
      </w:pPr>
      <w:r>
        <w:t>1. 设计目标与边界</w:t>
      </w:r>
    </w:p>
    <w:p>
      <w:pPr>
        <w:pStyle w:val="Heading2"/>
        <w:keepNext/>
      </w:pPr>
      <w:r>
        <w:t>1.1 目标</w:t>
      </w:r>
    </w:p>
    <w:p>
      <w:pPr>
        <w:spacing w:after="120" w:lineRule="auto" w:line="300"/>
      </w:pPr>
      <w:r>
        <w:t>本方案的目标不是再写一个“弱转强脚本”，而是建立一套可复用、可解释、可迭代的系统架构。系统需要回答两个不同但连续的问题：第一，明天哪些票值得重点盯竞价；第二，这些候选里哪些在竞价阶段真正完成了弱转强确认。</w:t>
      </w:r>
    </w:p>
    <w:p>
      <w:pPr>
        <w:pStyle w:val="Heading2"/>
        <w:keepNext/>
      </w:pPr>
      <w:r>
        <w:t>1.2 非目标</w:t>
      </w:r>
    </w:p>
    <w:p>
      <w:pPr>
        <w:spacing w:after="120" w:lineRule="auto" w:line="300"/>
      </w:pPr>
      <w:r>
        <w:t>V1 不做盘前全市场海选，不做复杂图像模型驱动的竞价形态识别，不做全量盘中实时回流引擎，也不将统计显著性检验、机器学习分类器和完整大型回测框架作为当前第一优先级。当前阶段的重点是把盘后候选池、盘前竞价确认、评分解释和信号输出这条链路稳定做通。</w:t>
      </w:r>
    </w:p>
    <w:p>
      <w:pPr>
        <w:pStyle w:val="Heading2"/>
        <w:keepNext/>
      </w:pPr>
      <w:r>
        <w:t>1.3 设计原则</w:t>
      </w:r>
    </w:p>
    <w:p>
      <w:pPr>
        <w:spacing w:after="120" w:lineRule="auto" w:line="300"/>
      </w:pPr>
      <w:r>
        <w:t>系统设计遵循四条原则：一是盘前模块只确认候选池，不直接扫全市场；二是先规则型MVP，再做模型增强；三是每条信号必须可解释、可追溯；四是硬规则与评分项严格分离，防止靠高分补偿绕过一票否决条件。</w:t>
      </w:r>
    </w:p>
    <w:p>
      <w:pPr>
        <w:pStyle w:val="Heading1"/>
        <w:keepNext/>
      </w:pPr>
      <w:r>
        <w:t>2. 总体架构：两阶段事件系统</w:t>
      </w:r>
    </w:p>
    <w:p>
      <w:pPr>
        <w:pStyle w:val="Heading2"/>
        <w:keepNext/>
      </w:pPr>
      <w:r>
        <w:t>2.1 两阶段职责</w:t>
      </w:r>
    </w:p>
    <w:p>
      <w:pPr>
        <w:spacing w:after="120" w:lineRule="auto" w:line="300"/>
      </w:pPr>
      <w:r>
        <w:t>阶段A为T日盘后候选池，负责高召回，输出“次日值得盯竞价的股票及其确认目标条件”；阶段B为T+1盘前竞价确认，负责高精度，只消费候选池，对竞价片段做确认、分级与提示。盘后层是观察池生成器，不是交易信号本身；盘前层是确认器，不是重新海选器。</w:t>
      </w:r>
    </w:p>
    <w:p>
      <w:pPr>
        <w:pStyle w:val="Heading2"/>
        <w:keepNext/>
      </w:pPr>
      <w:r>
        <w:t>2.2 系统主链</w:t>
      </w:r>
    </w:p>
    <w:p>
      <w:pPr>
        <w:spacing w:after="120" w:lineRule="auto" w:line="300"/>
      </w:pPr>
      <w:r>
        <w:t>完整主链为：行情与题材数据接入 → 盘后候选池构建 → 候选记录入库 → 盘前读取候选池 → 获取9:20–9:25竞价数据与板块联动数据 → 评分与硬规则判定 → 产出A/B/C/X级信号 → 统一解释模板与提示输出。</w:t>
      </w:r>
    </w:p>
    <w:p>
      <w:pPr>
        <w:pStyle w:val="Heading2"/>
        <w:keepNext/>
      </w:pPr>
      <w:r>
        <w:t>2.3 正式信号边界</w:t>
      </w:r>
    </w:p>
    <w:p>
      <w:pPr>
        <w:spacing w:after="120" w:lineRule="auto" w:line="300"/>
      </w:pPr>
      <w:r>
        <w:t>盘前确认层不得将非候选股票输出为A/B级正式信号。非候选股票最多进入 observe_only 观察流，不进入正式弱转强信号流。所有正式盘前信号必须绑定 candidate_id，以便后续回放、解释和绩效统计。</w:t>
      </w:r>
    </w:p>
    <w:p>
      <w:pPr>
        <w:pStyle w:val="Heading1"/>
        <w:keepNext/>
      </w:pPr>
      <w:r>
        <w:t>3. 阶段A：盘后候选池设计（高召回）</w:t>
      </w:r>
    </w:p>
    <w:p>
      <w:pPr>
        <w:pStyle w:val="Heading2"/>
        <w:keepNext/>
      </w:pPr>
      <w:r>
        <w:t>3.1 入池硬门槛</w:t>
      </w:r>
    </w:p>
    <w:p>
      <w:pPr>
        <w:spacing w:after="120" w:lineRule="auto" w:line="300"/>
      </w:pPr>
      <w:r>
        <w:t>盘后候选池的硬门槛只保留真正决定资格的条件：前期强势背景成立，以及当前处于分歧修复窗口而非退潮末端。前期强势背景可以来自龙头、次龙头、板块前排或明显强势结构；分歧修复窗口则要求题材与个股仍有修复可能，而不是已经进入全面退潮。</w:t>
      </w:r>
    </w:p>
    <w:p>
      <w:pPr>
        <w:pStyle w:val="Heading2"/>
        <w:keepNext/>
      </w:pPr>
      <w:r>
        <w:t>3.2 候选评分维度</w:t>
      </w:r>
    </w:p>
    <w:p>
      <w:pPr>
        <w:spacing w:after="120" w:lineRule="auto" w:line="300"/>
      </w:pPr>
      <w:r>
        <w:t>在硬门槛之外，盘后层主要做评分，不做过严否决。评分维度包括：弱势类型与强度、支撑体系、主线与地位、量价状态。弱势类型建议结构化为 big_negative_line、upper_shadow、bad_limit_up、fake_break、high_open_low_close 等；支撑体系包括缺口、前板/前高/前低、MA5/MA10；量价状态则重点看缩量分歧、承接保留、关键位不失守。</w:t>
      </w:r>
    </w:p>
    <w:p>
      <w:pPr>
        <w:pStyle w:val="Heading2"/>
        <w:keepNext/>
      </w:pPr>
      <w:r>
        <w:t>3.3 候选类型分层</w:t>
      </w:r>
    </w:p>
    <w:p>
      <w:pPr>
        <w:spacing w:after="120" w:lineRule="auto" w:line="300"/>
      </w:pPr>
      <w:r>
        <w:t>为后续精细化阈值与统计校准做准备，候选池建议从一开始就记录 candidate_type，例如 dragon_repair、subdragon_repair、strong_trend_repair、bad_limit_repair、upper_shadow_repair。这样后续可以对不同候选类型设置不同的盘前确认要求。</w:t>
      </w:r>
    </w:p>
    <w:p>
      <w:pPr>
        <w:pStyle w:val="Heading2"/>
        <w:keepNext/>
      </w:pPr>
      <w:r>
        <w:t>3.4 出池规模建议</w:t>
      </w:r>
    </w:p>
    <w:p>
      <w:pPr>
        <w:spacing w:after="120" w:lineRule="auto" w:line="300"/>
      </w:pPr>
      <w:r>
        <w:t>候选池不追求极致精度，而追求不漏掉真机会。每日候选池规模建议控制在30–120只之间，由主线热度、市场情绪和个股活跃度动态调整。候选对象必须包含“次日竞价确认目标条件”，例如预期高开区间、预期竞价形态、是否要求最后一分钟抢筹、是否必须有板块跟随。</w:t>
      </w:r>
    </w:p>
    <w:p>
      <w:pPr>
        <w:pStyle w:val="Heading1"/>
        <w:keepNext/>
      </w:pPr>
      <w:r>
        <w:t>4. 阶段B：盘前竞价确认设计（高精度）</w:t>
      </w:r>
    </w:p>
    <w:p>
      <w:pPr>
        <w:pStyle w:val="Heading2"/>
        <w:keepNext/>
      </w:pPr>
      <w:r>
        <w:t>4.1 盘前确认定位</w:t>
      </w:r>
    </w:p>
    <w:p>
      <w:pPr>
        <w:spacing w:after="120" w:lineRule="auto" w:line="300"/>
      </w:pPr>
      <w:r>
        <w:t>盘前竞价层只针对盘后候选池工作，不直接对全市场做筛选。它的任务是把“值得看”的票缩小成“值得提示”的票，并且给出确认等级、风险扣分和证据说明。</w:t>
      </w:r>
    </w:p>
    <w:p>
      <w:pPr>
        <w:pStyle w:val="Heading2"/>
        <w:keepNext/>
      </w:pPr>
      <w:r>
        <w:t>4.2 MVP 六条硬规则</w:t>
      </w:r>
    </w:p>
    <w:p>
      <w:pPr>
        <w:spacing w:after="120" w:lineRule="auto" w:line="300"/>
      </w:pPr>
      <w:r>
        <w:t>第一，必须来自候选池；第二，9:20–9:25走势不可大起大落；第三，9:24–9:25必须出现抢筹增强或承接增强；第四，竞价结束需红盘或站稳关键承接位；第五，不可出现尾段急跌；第六，板块不可明显退潮。硬规则只负责保留或剔除正式信号流，不能被高分补偿绕过。</w:t>
      </w:r>
    </w:p>
    <w:p>
      <w:pPr>
        <w:pStyle w:val="Heading2"/>
        <w:keepNext/>
      </w:pPr>
      <w:r>
        <w:t>4.3 四维评分框架</w:t>
      </w:r>
    </w:p>
    <w:p>
      <w:pPr>
        <w:spacing w:after="120" w:lineRule="auto" w:line="300"/>
      </w:pPr>
      <w:r>
        <w:t>盘前确认总分为100分，包含四个维度：价格强度30分、形态稳定25分、最后一分钟抢筹25分、板块联动20分。评分只在“硬规则通过”的前提下用于样本内部排序。风险项单独扣分，避免把风险隐含在主分里。</w:t>
      </w:r>
    </w:p>
    <w:p>
      <w:pPr>
        <w:pStyle w:val="Heading2"/>
        <w:keepNext/>
      </w:pPr>
      <w:r>
        <w:t>4.4 风险扣分</w:t>
      </w:r>
    </w:p>
    <w:p>
      <w:pPr>
        <w:spacing w:after="120" w:lineRule="auto" w:line="300"/>
      </w:pPr>
      <w:r>
        <w:t>风险扣分建议控制在0–30分之间，重点对应尾段急跌、红盘失守、冲高回落风险和板块同步转弱。若关键数据缺失或延迟，不直接判为C，而应进入X级“数据异常/暂不判定”分流。</w:t>
      </w:r>
    </w:p>
    <w:p>
      <w:pPr>
        <w:pStyle w:val="Heading1"/>
        <w:keepNext/>
      </w:pPr>
      <w:r>
        <w:t>5. 可执行评分细则</w:t>
      </w:r>
    </w:p>
    <w:p>
      <w:pPr>
        <w:pStyle w:val="Heading2"/>
        <w:keepNext/>
      </w:pPr>
      <w:r>
        <w:t>5.1 总分公式</w:t>
      </w:r>
    </w:p>
    <w:p>
      <w:pPr>
        <w:spacing w:after="120" w:lineRule="auto" w:line="300"/>
      </w:pPr>
      <w:r>
        <w:t>confirmation_score = price_strength + pattern_stability + last_minute_grab + plate_follow − risk_penalty。前四项分别对应四维评分，risk_penalty用于显式反映风险。</w:t>
      </w:r>
    </w:p>
    <w:p>
      <w:pPr>
        <w:pStyle w:val="Heading2"/>
        <w:keepNext/>
      </w:pPr>
      <w:r>
        <w:t>5.2 价格强度（0–30）</w:t>
      </w:r>
    </w:p>
    <w:p>
      <w:pPr>
        <w:spacing w:after="120" w:lineRule="auto" w:line="300"/>
      </w:pPr>
      <w:r>
        <w:t>价格强度包括三部分：高开幅度是否位于候选预期区间；是否站上昨日收盘、弱K实体上沿或关键承接位；竞价尾值相对竞价均价是否偏强。龙头修复类票可以接受更低高开，但必须承接强；普通补涨类票则需要更强高开和量能。</w:t>
      </w:r>
    </w:p>
    <w:p>
      <w:pPr>
        <w:pStyle w:val="Heading2"/>
        <w:keepNext/>
      </w:pPr>
      <w:r>
        <w:t>5.3 形态稳定（0–25）</w:t>
      </w:r>
    </w:p>
    <w:p>
      <w:pPr>
        <w:spacing w:after="120" w:lineRule="auto" w:line="300"/>
      </w:pPr>
      <w:r>
        <w:t>形态稳定主要看9:20–9:25这5分钟的走势质量。稳定性分数可由波动平滑度、红盘维持度、尾段上翘、阶梯抬升、U形回拉质量构成；若存在急拉急砸、尾段失控等异常，则不给分或触发硬规则。</w:t>
      </w:r>
    </w:p>
    <w:p>
      <w:pPr>
        <w:pStyle w:val="Heading2"/>
        <w:keepNext/>
      </w:pPr>
      <w:r>
        <w:t>5.4 最后一分钟抢筹（0–25）</w:t>
      </w:r>
    </w:p>
    <w:p>
      <w:pPr>
        <w:spacing w:after="120" w:lineRule="auto" w:line="300"/>
      </w:pPr>
      <w:r>
        <w:t>最后一分钟是竞价确认中最关键的观察窗口。重点看9:24–9:25成交量是否相对前4分钟明显放大、最后一分钟价格是否抬升而非回落、委买或承接是否同步增强。</w:t>
      </w:r>
    </w:p>
    <w:p>
      <w:pPr>
        <w:pStyle w:val="Heading2"/>
        <w:keepNext/>
      </w:pPr>
      <w:r>
        <w:t>5.5 板块联动（0–20）</w:t>
      </w:r>
    </w:p>
    <w:p>
      <w:pPr>
        <w:spacing w:after="120" w:lineRule="auto" w:line="300"/>
      </w:pPr>
      <w:r>
        <w:t>板块联动主要看题材红盘率或强势率、前排票是否同步强势、核心票是否起到助攻作用，以及板块是否没有明显退潮。即便个股形态很好，如果题材联动显著转弱，最终信号也只能降级或放弃。</w:t>
      </w:r>
    </w:p>
    <w:p>
      <w:pPr>
        <w:pStyle w:val="Heading2"/>
        <w:keepNext/>
      </w:pPr>
      <w:r>
        <w:t>5.6 数据质量状态</w:t>
      </w:r>
    </w:p>
    <w:p>
      <w:pPr>
        <w:spacing w:after="120" w:lineRule="auto" w:line="300"/>
      </w:pPr>
      <w:r>
        <w:t>建议在确认结果中增加 data_status 字段：ok、partial、delayed、missing。关键窗口数据完整且时效正常为 ok；存在部分非关键字段缺失时可降级评分；关键数据延迟或缺失时，直接进入 X 级，不纳入正式效果统计。</w:t>
      </w:r>
    </w:p>
    <w:p>
      <w:pPr>
        <w:pStyle w:val="Heading1"/>
        <w:keepNext/>
      </w:pPr>
      <w:r>
        <w:t>6. 数据模型与表结构建议</w:t>
      </w:r>
    </w:p>
    <w:p>
      <w:pPr>
        <w:pStyle w:val="Heading2"/>
        <w:keepNext/>
      </w:pPr>
      <w:r>
        <w:t>6.1 盘后候选池表 weak_to_strong_candidate_pool</w:t>
      </w:r>
    </w:p>
    <w:p>
      <w:pPr>
        <w:spacing w:after="120" w:lineRule="auto" w:line="300"/>
      </w:pPr>
      <w:r>
        <w:t>核心字段建议包含：trade_date、next_trade_date、stock_id、stock_name、subject_key、theme_name、candidate_score、candidate_type、rule_version、weak_type、weak_intensity、is_dragon_head、dragon_head_level、prev_limit_up_count、max_consecutive_limit_up_days、support_type、support_level、support_strength、expected_open_low、expected_open_high、expected_auction_pattern、need_last_minute_grab、need_plate_follow、evidence_json、created_at。</w:t>
      </w:r>
    </w:p>
    <w:p>
      <w:pPr>
        <w:pStyle w:val="Heading2"/>
        <w:keepNext/>
      </w:pPr>
      <w:r>
        <w:t>6.2 盘前确认结果表 weak_to_strong_auction_signal</w:t>
      </w:r>
    </w:p>
    <w:p>
      <w:pPr>
        <w:spacing w:after="120" w:lineRule="auto" w:line="300"/>
      </w:pPr>
      <w:r>
        <w:t>核心字段建议包含：trade_date、stock_id、stock_name、candidate_id、auction_open_pct、auction_high_pct、auction_low_pct、auction_close_pct、auction_amount、auction_volume、auction_pattern、auction_pattern_score、auction_stability_score、last_minute_grab_score、plate_follow_score、risk_penalty、confirmation_score、signal_level、decision、data_status、data_latency_ms、source_snapshot_id、evidence_json、created_at。</w:t>
      </w:r>
    </w:p>
    <w:p>
      <w:pPr>
        <w:pStyle w:val="Heading2"/>
        <w:keepNext/>
      </w:pPr>
      <w:r>
        <w:t>6.3 设计要点</w:t>
      </w:r>
    </w:p>
    <w:p>
      <w:pPr>
        <w:spacing w:after="120" w:lineRule="auto" w:line="300"/>
      </w:pPr>
      <w:r>
        <w:t>候选池应在 next_trade_date + stock_id 上做唯一约束，便于同日去重；确认表应按 trade_date + signal_level 和 trade_date + stock_id 建索引，便于盘前检索与复盘。evidence_json 是必须字段，用于保存评分依据、风险依据与关键原始片段。</w:t>
      </w:r>
    </w:p>
    <w:p>
      <w:pPr>
        <w:pStyle w:val="Heading1"/>
        <w:keepNext/>
      </w:pPr>
      <w:r>
        <w:t>7. 服务拆分与接口契约</w:t>
      </w:r>
    </w:p>
    <w:p>
      <w:pPr>
        <w:pStyle w:val="Heading2"/>
        <w:keepNext/>
      </w:pPr>
      <w:r>
        <w:t>7.1 WeakToStrongCandidateBuilder</w:t>
      </w:r>
    </w:p>
    <w:p>
      <w:pPr>
        <w:spacing w:after="120" w:lineRule="auto" w:line="300"/>
      </w:pPr>
      <w:r>
        <w:t>输入为 trade_date，输出为候选池记录列表。输出字段至少要包含 candidate_type、rule_version 与 evidence_json。该服务只负责盘后构建，不负责盘前确认。</w:t>
      </w:r>
    </w:p>
    <w:p>
      <w:pPr>
        <w:pStyle w:val="Heading2"/>
        <w:keepNext/>
      </w:pPr>
      <w:r>
        <w:t>7.2 WeakToStrongAuctionService</w:t>
      </w:r>
    </w:p>
    <w:p>
      <w:pPr>
        <w:spacing w:after="120" w:lineRule="auto" w:line="300"/>
      </w:pPr>
      <w:r>
        <w:t>输入为当日候选池、竞价数据与板块上下文，输出为 A/B/C/X 级确认信号列表。该服务只确认候选池，不允许把非候选股票塞入正式信号流。</w:t>
      </w:r>
    </w:p>
    <w:p>
      <w:pPr>
        <w:pStyle w:val="Heading2"/>
        <w:keepNext/>
      </w:pPr>
      <w:r>
        <w:t>7.3 WeakToStrongAuctionScorer</w:t>
      </w:r>
    </w:p>
    <w:p>
      <w:pPr>
        <w:spacing w:after="120" w:lineRule="auto" w:line="300"/>
      </w:pPr>
      <w:r>
        <w:t>该服务负责对单票候选进行四维打分、风险扣分和数据质量判定，输出 ScoreBreakdown。它不负责读库和发通知，只负责可复用的评分逻辑。</w:t>
      </w:r>
    </w:p>
    <w:p>
      <w:pPr>
        <w:pStyle w:val="Heading2"/>
        <w:keepNext/>
      </w:pPr>
      <w:r>
        <w:t>7.4 WeakToStrongAlertService</w:t>
      </w:r>
    </w:p>
    <w:p>
      <w:pPr>
        <w:spacing w:after="120" w:lineRule="auto" w:line="300"/>
      </w:pPr>
      <w:r>
        <w:t>该服务将确认信号渲染为统一提示消息，用于终端、Web 或消息系统。输出模板建议统一包含：入选原因、扣分原因、关键证据、最终结论和建议动作。</w:t>
      </w:r>
    </w:p>
    <w:p>
      <w:pPr>
        <w:pStyle w:val="Heading1"/>
        <w:keepNext/>
      </w:pPr>
      <w:r>
        <w:t>8. 输出解释、分级与提示模板</w:t>
      </w:r>
    </w:p>
    <w:p>
      <w:pPr>
        <w:pStyle w:val="Heading2"/>
        <w:keepNext/>
      </w:pPr>
      <w:r>
        <w:t>8.1 分级标准</w:t>
      </w:r>
    </w:p>
    <w:p>
      <w:pPr>
        <w:spacing w:after="120" w:lineRule="auto" w:line="300"/>
      </w:pPr>
      <w:r>
        <w:t>A级为强确认，通常要求 confirmation_score ≥ 75 且关键项完整满足；B级为观察，通常为55–75分或存在单项短板；C级为放弃，通常为低分或触发高风险硬条件；X级为数据异常/暂不判定，不计入正式策略效果评估。</w:t>
      </w:r>
    </w:p>
    <w:p>
      <w:pPr>
        <w:pStyle w:val="Heading2"/>
        <w:keepNext/>
      </w:pPr>
      <w:r>
        <w:t>8.2 统一解释模板</w:t>
      </w:r>
    </w:p>
    <w:p>
      <w:pPr>
        <w:spacing w:after="120" w:lineRule="auto" w:line="300"/>
      </w:pPr>
      <w:r>
        <w:t>每条信号必须给出四类信息：入选原因、扣分原因、关键证据、最终结论。推荐采用统一格式，例如“命中：尾段上翘 + 抢筹增强 + 板块联动良好；风险：高开略高于预期区间；结论：A级，重点关注”。</w:t>
      </w:r>
    </w:p>
    <w:p>
      <w:pPr>
        <w:pStyle w:val="Heading2"/>
        <w:keepNext/>
      </w:pPr>
      <w:r>
        <w:t>8.3 配额建议</w:t>
      </w:r>
    </w:p>
    <w:p>
      <w:pPr>
        <w:spacing w:after="120" w:lineRule="auto" w:line="300"/>
      </w:pPr>
      <w:r>
        <w:t>A级建议控制在每日3–8只，B级建议控制在每日5–20只。X级不设配额，但需要单独统计，用于评估数据链路稳定性。</w:t>
      </w:r>
    </w:p>
    <w:p>
      <w:pPr>
        <w:pStyle w:val="Heading1"/>
        <w:keepNext/>
      </w:pPr>
      <w:r>
        <w:t>9. 工程落地优先级</w:t>
      </w:r>
    </w:p>
    <w:p>
      <w:pPr>
        <w:pStyle w:val="Heading2"/>
        <w:keepNext/>
      </w:pPr>
      <w:r>
        <w:t>9.1 当前最优先事项</w:t>
      </w:r>
    </w:p>
    <w:p>
      <w:pPr>
        <w:spacing w:after="120" w:lineRule="auto" w:line="300"/>
      </w:pPr>
      <w:r>
        <w:t>第一优先级不是继续堆更多规则，而是先把真实数据链路补齐并打通闭环，包括 subject_key 与题材主数据映射、真实K线与竞价数据获取、统一 stock_id/subject_key/theme_name 的主键规范，以及 evidence 快照落库。</w:t>
      </w:r>
    </w:p>
    <w:p>
      <w:pPr>
        <w:pStyle w:val="Heading2"/>
        <w:keepNext/>
      </w:pPr>
      <w:r>
        <w:t>9.2 MVP 开发顺序</w:t>
      </w:r>
    </w:p>
    <w:p>
      <w:pPr>
        <w:spacing w:after="120" w:lineRule="auto" w:line="300"/>
      </w:pPr>
      <w:r>
        <w:t>建议按以下顺序实施：先落盘后候选池表和 CandidateBuilder；再落盘前确认表、AuctionService 与 AuctionScorer；然后接入 AlertService；最后做轻量级历史事件回放与失败样本校准。</w:t>
      </w:r>
    </w:p>
    <w:p>
      <w:pPr>
        <w:pStyle w:val="Heading2"/>
        <w:keepNext/>
      </w:pPr>
      <w:r>
        <w:t>9.3 暂缓事项</w:t>
      </w:r>
    </w:p>
    <w:p>
      <w:pPr>
        <w:spacing w:after="120" w:lineRule="auto" w:line="300"/>
      </w:pPr>
      <w:r>
        <w:t>完整大型回测框架、机器学习分类器、复杂形态识别模型、盘中实时回流引擎、LLM审核器都应放到后续版本，而不是和MVP并行推进。</w:t>
      </w:r>
    </w:p>
    <w:p>
      <w:pPr>
        <w:pStyle w:val="Heading1"/>
        <w:keepNext/>
      </w:pPr>
      <w:r>
        <w:t>10. 风险控制与研究路线（后续迭代）</w:t>
      </w:r>
    </w:p>
    <w:p>
      <w:pPr>
        <w:pStyle w:val="Heading2"/>
        <w:keepNext/>
      </w:pPr>
      <w:r>
        <w:t>10.1 风险控制</w:t>
      </w:r>
    </w:p>
    <w:p>
      <w:pPr>
        <w:spacing w:after="120" w:lineRule="auto" w:line="300"/>
      </w:pPr>
      <w:r>
        <w:t>后续可将市场状态、组合层仓位、单票层仓位管理纳入系统，例如进攻/防守/谨慎/观望四态管理，结合最大持仓数、主题暴露上限、单票仓位上限等约束。</w:t>
      </w:r>
    </w:p>
    <w:p>
      <w:pPr>
        <w:pStyle w:val="Heading2"/>
        <w:keepNext/>
      </w:pPr>
      <w:r>
        <w:t>10.2 事件回放与失败样本校准</w:t>
      </w:r>
    </w:p>
    <w:p>
      <w:pPr>
        <w:spacing w:after="120" w:lineRule="auto" w:line="300"/>
      </w:pPr>
      <w:r>
        <w:t>在正式统计检验前，优先建立真阳性、假阳性、假阴性样本池，做历史回放与评分路径复盘。系统必须能回答：为什么选中、为什么错杀、哪一维出错。</w:t>
      </w:r>
    </w:p>
    <w:p>
      <w:pPr>
        <w:pStyle w:val="Heading2"/>
        <w:keepNext/>
      </w:pPr>
      <w:r>
        <w:t>10.3 迭代路线</w:t>
      </w:r>
    </w:p>
    <w:p>
      <w:pPr>
        <w:spacing w:after="120" w:lineRule="auto" w:line="300"/>
      </w:pPr>
      <w:r>
        <w:t>V1.1 继续细化候选类型分层阈值与竞价形态特征；V1.2 增加开盘后5分钟二次确认与失败样本回放；V1.3 再考虑引入 LLM 做“证据审核 + 风险标注 + 排序纠偏”，而不是直接让模型代替规则选股。</w:t>
      </w:r>
    </w:p>
    <w:p>
      <w:pPr>
        <w:pStyle w:val="Heading1"/>
        <w:keepNext/>
      </w:pPr>
      <w:r>
        <w:t>附录：实施优先级清单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020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1701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type="dxa" w:w="2551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关键产出</w:t>
            </w:r>
          </w:p>
        </w:tc>
        <w:tc>
          <w:tcPr>
            <w:tcW w:type="dxa" w:w="4082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0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P0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数据闭环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主题映射、K线/竞价数据、统一主键、evidence落库</w:t>
            </w:r>
          </w:p>
        </w:tc>
        <w:tc>
          <w:tcPr>
            <w:tcW w:type="dxa" w:w="40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没有这一步，后续评分与回测都不稳</w:t>
            </w:r>
          </w:p>
        </w:tc>
      </w:tr>
      <w:tr>
        <w:tc>
          <w:tcPr>
            <w:tcW w:type="dxa" w:w="10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P1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盘后候选池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CandidateBuilder + candidate_pool表</w:t>
            </w:r>
          </w:p>
        </w:tc>
        <w:tc>
          <w:tcPr>
            <w:tcW w:type="dxa" w:w="40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先稳定产出“明日观察池”</w:t>
            </w:r>
          </w:p>
        </w:tc>
      </w:tr>
      <w:tr>
        <w:tc>
          <w:tcPr>
            <w:tcW w:type="dxa" w:w="10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P2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盘前竞价确认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AuctionService + AuctionScorer + auction_signal表</w:t>
            </w:r>
          </w:p>
        </w:tc>
        <w:tc>
          <w:tcPr>
            <w:tcW w:type="dxa" w:w="40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先做规则型MVP，不追求过度复杂</w:t>
            </w:r>
          </w:p>
        </w:tc>
      </w:tr>
      <w:tr>
        <w:tc>
          <w:tcPr>
            <w:tcW w:type="dxa" w:w="10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P3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提示与回放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AlertService + 历史案例回放</w:t>
            </w:r>
          </w:p>
        </w:tc>
        <w:tc>
          <w:tcPr>
            <w:tcW w:type="dxa" w:w="40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保证信号可读、可复盘、可校准</w:t>
            </w:r>
          </w:p>
        </w:tc>
      </w:tr>
      <w:tr>
        <w:tc>
          <w:tcPr>
            <w:tcW w:type="dxa" w:w="10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P4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增强迭代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开盘后5分钟确认、失败样本校准、LLM审核</w:t>
            </w:r>
          </w:p>
        </w:tc>
        <w:tc>
          <w:tcPr>
            <w:tcW w:type="dxa" w:w="40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作为后续版本演进</w:t>
            </w:r>
          </w:p>
        </w:tc>
      </w:tr>
    </w:tbl>
    <w:p>
      <w:pPr>
        <w:pStyle w:val="Heading1"/>
        <w:keepNext/>
      </w:pPr>
      <w:r>
        <w:t>附录：建议建表SQL（简版）</w:t>
      </w:r>
    </w:p>
    <w:p>
      <w:pPr>
        <w:spacing w:after="80"/>
      </w:pPr>
      <w:r>
        <w:rPr>
          <w:rFonts w:ascii="Consolas" w:hAnsi="Consolas" w:eastAsia="Consolas"/>
          <w:sz w:val="17"/>
        </w:rPr>
        <w:t>CREATE TABLE weak_to_strong_candidate_pool (</w:t>
        <w:br/>
        <w:t xml:space="preserve">  id BIGSERIAL PRIMARY KEY,</w:t>
        <w:br/>
        <w:t xml:space="preserve">  trade_date DATE NOT NULL,</w:t>
        <w:br/>
        <w:t xml:space="preserve">  next_trade_date DATE NOT NULL,</w:t>
        <w:br/>
        <w:t xml:space="preserve">  stock_id VARCHAR(16) NOT NULL,</w:t>
        <w:br/>
        <w:t xml:space="preserve">  stock_name VARCHAR(64) NOT NULL,</w:t>
        <w:br/>
        <w:t xml:space="preserve">  subject_key VARCHAR(64),</w:t>
        <w:br/>
        <w:t xml:space="preserve">  theme_name VARCHAR(128),</w:t>
        <w:br/>
        <w:t xml:space="preserve">  candidate_score NUMERIC(6,2) NOT NULL,</w:t>
        <w:br/>
        <w:t xml:space="preserve">  candidate_type VARCHAR(32) NOT NULL,</w:t>
        <w:br/>
        <w:t xml:space="preserve">  rule_version VARCHAR(64) NOT NULL,</w:t>
        <w:br/>
        <w:t xml:space="preserve">  weak_type VARCHAR(32) NOT NULL,</w:t>
        <w:br/>
        <w:t xml:space="preserve">  weak_intensity NUMERIC(6,2) NOT NULL,</w:t>
        <w:br/>
        <w:t xml:space="preserve">  support_type VARCHAR(32),</w:t>
        <w:br/>
        <w:t xml:space="preserve">  support_level NUMERIC(12,3),</w:t>
        <w:br/>
        <w:t xml:space="preserve">  support_strength NUMERIC(6,2) DEFAULT 0,</w:t>
        <w:br/>
        <w:t xml:space="preserve">  expected_open_low NUMERIC(6,2),</w:t>
        <w:br/>
        <w:t xml:space="preserve">  expected_open_high NUMERIC(6,2),</w:t>
        <w:br/>
        <w:t xml:space="preserve">  expected_auction_pattern VARCHAR(32),</w:t>
        <w:br/>
        <w:t xml:space="preserve">  need_last_minute_grab BOOLEAN DEFAULT TRUE,</w:t>
        <w:br/>
        <w:t xml:space="preserve">  need_plate_follow BOOLEAN DEFAULT TRUE,</w:t>
        <w:br/>
        <w:t xml:space="preserve">  evidence_json JSONB NOT NULL DEFAULT '{}'::jsonb,</w:t>
        <w:br/>
        <w:t xml:space="preserve">  created_at TIMESTAMP NOT NULL DEFAULT now(),</w:t>
        <w:br/>
        <w:t xml:space="preserve">  UNIQUE (next_trade_date, stock_id)</w:t>
        <w:br/>
        <w:t>);</w:t>
      </w:r>
    </w:p>
    <w:p>
      <w:pPr>
        <w:spacing w:after="80"/>
      </w:pPr>
      <w:r>
        <w:rPr>
          <w:rFonts w:ascii="Consolas" w:hAnsi="Consolas" w:eastAsia="Consolas"/>
          <w:sz w:val="17"/>
        </w:rPr>
        <w:t>CREATE TABLE weak_to_strong_auction_signal (</w:t>
        <w:br/>
        <w:t xml:space="preserve">  id BIGSERIAL PRIMARY KEY,</w:t>
        <w:br/>
        <w:t xml:space="preserve">  trade_date DATE NOT NULL,</w:t>
        <w:br/>
        <w:t xml:space="preserve">  stock_id VARCHAR(16) NOT NULL,</w:t>
        <w:br/>
        <w:t xml:space="preserve">  stock_name VARCHAR(64) NOT NULL,</w:t>
        <w:br/>
        <w:t xml:space="preserve">  candidate_id BIGINT NOT NULL,</w:t>
        <w:br/>
        <w:t xml:space="preserve">  auction_open_pct NUMERIC(6,2),</w:t>
        <w:br/>
        <w:t xml:space="preserve">  auction_pattern VARCHAR(32),</w:t>
        <w:br/>
        <w:t xml:space="preserve">  auction_pattern_score NUMERIC(6,2) DEFAULT 0,</w:t>
        <w:br/>
        <w:t xml:space="preserve">  auction_stability_score NUMERIC(6,2) DEFAULT 0,</w:t>
        <w:br/>
        <w:t xml:space="preserve">  last_minute_grab_score NUMERIC(6,2) DEFAULT 0,</w:t>
        <w:br/>
        <w:t xml:space="preserve">  plate_follow_score NUMERIC(6,2) DEFAULT 0,</w:t>
        <w:br/>
        <w:t xml:space="preserve">  risk_penalty NUMERIC(6,2) DEFAULT 0,</w:t>
        <w:br/>
        <w:t xml:space="preserve">  confirmation_score NUMERIC(6,2) NOT NULL,</w:t>
        <w:br/>
        <w:t xml:space="preserve">  signal_level VARCHAR(1) NOT NULL,</w:t>
        <w:br/>
        <w:t xml:space="preserve">  decision VARCHAR(16) NOT NULL,</w:t>
        <w:br/>
        <w:t xml:space="preserve">  data_status VARCHAR(16) NOT NULL DEFAULT 'ok',</w:t>
        <w:br/>
        <w:t xml:space="preserve">  evidence_json JSONB NOT NULL DEFAULT '{}'::jsonb,</w:t>
        <w:br/>
        <w:t xml:space="preserve">  created_at TIMESTAMP NOT NULL DEFAULT now()</w:t>
        <w:br/>
        <w:t>);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弱转强两阶段系统最终方案设计  |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微软雅黑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rial" w:hAnsi="Arial" w:eastAsia="微软雅黑"/>
      <w:i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