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4B04" w14:textId="365E38C0" w:rsidR="008B7712" w:rsidRDefault="004A33EF">
      <w:pPr>
        <w:pStyle w:val="Title"/>
        <w:tabs>
          <w:tab w:val="left" w:pos="10463"/>
        </w:tabs>
      </w:pPr>
      <w:r>
        <w:rPr>
          <w:color w:val="FFFFFF"/>
          <w:shd w:val="clear" w:color="auto" w:fill="000000"/>
          <w:lang w:val="en"/>
        </w:rPr>
        <w:t xml:space="preserve"> Insurance Certificate Travel Insurance - DNB Plus</w:t>
      </w:r>
      <w:r>
        <w:rPr>
          <w:color w:val="FFFFFF"/>
          <w:spacing w:val="-2"/>
          <w:shd w:val="clear" w:color="auto" w:fill="000000"/>
          <w:lang w:val="en"/>
        </w:rPr>
        <w:t xml:space="preserve"> Mastercard</w:t>
      </w:r>
      <w:r>
        <w:rPr>
          <w:color w:val="FFFFFF"/>
          <w:shd w:val="clear" w:color="auto" w:fill="000000"/>
          <w:lang w:val="en"/>
        </w:rPr>
        <w:tab/>
      </w:r>
    </w:p>
    <w:p w14:paraId="3937A3C2" w14:textId="77777777" w:rsidR="008B7712" w:rsidRDefault="008B7712">
      <w:pPr>
        <w:pStyle w:val="BodyText"/>
        <w:spacing w:before="4"/>
        <w:ind w:left="0"/>
        <w:rPr>
          <w:sz w:val="13"/>
        </w:rPr>
      </w:pPr>
    </w:p>
    <w:p w14:paraId="26921202" w14:textId="77777777" w:rsidR="008B7712" w:rsidRDefault="004A33EF">
      <w:pPr>
        <w:pStyle w:val="BodyText"/>
        <w:spacing w:before="57"/>
        <w:ind w:right="256"/>
      </w:pPr>
      <w:r>
        <w:rPr>
          <w:lang w:val="en"/>
        </w:rPr>
        <w:t>This insurance certificate is a confirmation  that you are insured in accordance with  an agreement between DNB Bank ASA and Fremtind Forsikring AS.</w:t>
      </w:r>
    </w:p>
    <w:p w14:paraId="4CC9A9F9" w14:textId="77777777" w:rsidR="008B7712" w:rsidRDefault="008B7712">
      <w:pPr>
        <w:pStyle w:val="BodyText"/>
        <w:spacing w:before="6"/>
        <w:ind w:left="0"/>
        <w:rPr>
          <w:sz w:val="20"/>
        </w:rPr>
      </w:pPr>
    </w:p>
    <w:tbl>
      <w:tblPr>
        <w:tblW w:w="0" w:type="auto"/>
        <w:tblInd w:w="197" w:type="dxa"/>
        <w:tblLayout w:type="fixed"/>
        <w:tblCellMar>
          <w:left w:w="0" w:type="dxa"/>
          <w:right w:w="0" w:type="dxa"/>
        </w:tblCellMar>
        <w:tblLook w:val="01E0" w:firstRow="1" w:lastRow="1" w:firstColumn="1" w:lastColumn="1" w:noHBand="0" w:noVBand="0"/>
      </w:tblPr>
      <w:tblGrid>
        <w:gridCol w:w="1982"/>
        <w:gridCol w:w="2381"/>
      </w:tblGrid>
      <w:tr w:rsidR="008B7712" w14:paraId="195664AB" w14:textId="77777777">
        <w:trPr>
          <w:trHeight w:val="244"/>
        </w:trPr>
        <w:tc>
          <w:tcPr>
            <w:tcW w:w="1982" w:type="dxa"/>
          </w:tcPr>
          <w:p w14:paraId="6F8A87BA" w14:textId="77777777" w:rsidR="008B7712" w:rsidRDefault="004A33EF">
            <w:pPr>
              <w:pStyle w:val="TableParagraph"/>
              <w:spacing w:line="225" w:lineRule="exact"/>
              <w:ind w:left="50"/>
            </w:pPr>
            <w:r>
              <w:rPr>
                <w:spacing w:val="-2"/>
                <w:lang w:val="en"/>
              </w:rPr>
              <w:t>Forsikringsnummer:</w:t>
            </w:r>
          </w:p>
        </w:tc>
        <w:tc>
          <w:tcPr>
            <w:tcW w:w="2381" w:type="dxa"/>
          </w:tcPr>
          <w:p w14:paraId="3085D558" w14:textId="77777777" w:rsidR="008B7712" w:rsidRDefault="004A33EF">
            <w:pPr>
              <w:pStyle w:val="TableParagraph"/>
              <w:spacing w:line="225" w:lineRule="exact"/>
              <w:ind w:left="161"/>
            </w:pPr>
            <w:r>
              <w:rPr>
                <w:spacing w:val="-2"/>
                <w:lang w:val="en"/>
              </w:rPr>
              <w:t>21511596</w:t>
            </w:r>
          </w:p>
        </w:tc>
      </w:tr>
      <w:tr w:rsidR="008B7712" w14:paraId="3FC32C0E" w14:textId="77777777">
        <w:trPr>
          <w:trHeight w:val="513"/>
        </w:trPr>
        <w:tc>
          <w:tcPr>
            <w:tcW w:w="1982" w:type="dxa"/>
          </w:tcPr>
          <w:p w14:paraId="2260A37A" w14:textId="77777777" w:rsidR="008B7712" w:rsidRDefault="004A33EF">
            <w:pPr>
              <w:pStyle w:val="TableParagraph"/>
              <w:spacing w:line="249" w:lineRule="exact"/>
              <w:ind w:left="50"/>
            </w:pPr>
            <w:r>
              <w:rPr>
                <w:spacing w:val="-2"/>
                <w:lang w:val="en"/>
              </w:rPr>
              <w:t>Avtaleperiode:</w:t>
            </w:r>
          </w:p>
          <w:p w14:paraId="706C515D" w14:textId="77777777" w:rsidR="008B7712" w:rsidRDefault="004A33EF">
            <w:pPr>
              <w:pStyle w:val="TableParagraph"/>
              <w:spacing w:line="245" w:lineRule="exact"/>
              <w:ind w:left="50"/>
            </w:pPr>
            <w:r>
              <w:rPr>
                <w:spacing w:val="-2"/>
                <w:lang w:val="en"/>
              </w:rPr>
              <w:t>Reisevilkår:</w:t>
            </w:r>
          </w:p>
        </w:tc>
        <w:tc>
          <w:tcPr>
            <w:tcW w:w="2381" w:type="dxa"/>
          </w:tcPr>
          <w:p w14:paraId="067A5905" w14:textId="77777777" w:rsidR="008B7712" w:rsidRDefault="004A33EF">
            <w:pPr>
              <w:pStyle w:val="TableParagraph"/>
              <w:spacing w:line="249" w:lineRule="exact"/>
              <w:ind w:left="161"/>
            </w:pPr>
            <w:r>
              <w:rPr>
                <w:lang w:val="en"/>
              </w:rPr>
              <w:t>01.01.2022 -</w:t>
            </w:r>
            <w:r>
              <w:rPr>
                <w:spacing w:val="-2"/>
                <w:lang w:val="en"/>
              </w:rPr>
              <w:t xml:space="preserve"> 31.12.2022</w:t>
            </w:r>
          </w:p>
          <w:p w14:paraId="1EB5CE97" w14:textId="77777777" w:rsidR="008B7712" w:rsidRDefault="004A33EF">
            <w:pPr>
              <w:pStyle w:val="TableParagraph"/>
              <w:spacing w:line="245" w:lineRule="exact"/>
              <w:ind w:left="161"/>
            </w:pPr>
            <w:r>
              <w:rPr>
                <w:spacing w:val="-2"/>
                <w:lang w:val="en"/>
              </w:rPr>
              <w:t>RFK-01.01.2022</w:t>
            </w:r>
          </w:p>
        </w:tc>
      </w:tr>
    </w:tbl>
    <w:p w14:paraId="3D7DED94" w14:textId="77777777" w:rsidR="008B7712" w:rsidRDefault="008B7712">
      <w:pPr>
        <w:pStyle w:val="BodyText"/>
        <w:ind w:left="0"/>
        <w:rPr>
          <w:sz w:val="20"/>
        </w:rPr>
      </w:pPr>
    </w:p>
    <w:p w14:paraId="23100E19" w14:textId="77777777" w:rsidR="008B7712" w:rsidRDefault="00327E88">
      <w:pPr>
        <w:pStyle w:val="BodyText"/>
        <w:spacing w:before="11"/>
        <w:ind w:left="0"/>
        <w:rPr>
          <w:sz w:val="23"/>
        </w:rPr>
      </w:pPr>
      <w:r>
        <w:pict w14:anchorId="655E1A29">
          <v:rect id="docshape2" o:spid="_x0000_s1026" style="position:absolute;margin-left:41.15pt;margin-top:15.8pt;width:513.1pt;height:1.45pt;z-index:-251658752;mso-wrap-distance-left:0;mso-wrap-distance-right:0;mso-position-horizontal-relative:page" fillcolor="black" stroked="f">
            <w10:wrap type="topAndBottom" anchorx="page"/>
          </v:rect>
        </w:pict>
      </w:r>
    </w:p>
    <w:p w14:paraId="39F9ABED" w14:textId="77777777" w:rsidR="008B7712" w:rsidRDefault="004A33EF">
      <w:pPr>
        <w:pStyle w:val="BodyText"/>
        <w:spacing w:before="1"/>
      </w:pPr>
      <w:r>
        <w:rPr>
          <w:lang w:val="en"/>
        </w:rPr>
        <w:t>What is</w:t>
      </w:r>
      <w:r>
        <w:rPr>
          <w:spacing w:val="-2"/>
          <w:lang w:val="en"/>
        </w:rPr>
        <w:t xml:space="preserve"> insured</w:t>
      </w:r>
    </w:p>
    <w:p w14:paraId="3A456A94" w14:textId="77777777" w:rsidR="008B7712" w:rsidRDefault="004A33EF">
      <w:pPr>
        <w:pStyle w:val="BodyText"/>
        <w:tabs>
          <w:tab w:val="left" w:pos="2964"/>
        </w:tabs>
        <w:spacing w:before="1"/>
        <w:ind w:right="4467"/>
      </w:pPr>
      <w:r>
        <w:rPr>
          <w:lang w:val="en"/>
        </w:rPr>
        <w:t>Insurance applies to:</w:t>
      </w:r>
      <w:r>
        <w:rPr>
          <w:lang w:val="en"/>
        </w:rPr>
        <w:tab/>
        <w:t xml:space="preserve">Cardholder, family and fellow travellers Travelling with duration: </w:t>
      </w:r>
      <w:r>
        <w:rPr>
          <w:lang w:val="en"/>
        </w:rPr>
        <w:tab/>
        <w:t>Up to 90 days duration</w:t>
      </w:r>
    </w:p>
    <w:p w14:paraId="1416948C" w14:textId="77777777" w:rsidR="008B7712" w:rsidRDefault="004A33EF">
      <w:pPr>
        <w:pStyle w:val="BodyText"/>
        <w:tabs>
          <w:tab w:val="left" w:pos="2964"/>
        </w:tabs>
        <w:spacing w:before="1"/>
      </w:pPr>
      <w:r>
        <w:rPr>
          <w:lang w:val="en"/>
        </w:rPr>
        <w:t>Where the insurance</w:t>
      </w:r>
      <w:r>
        <w:rPr>
          <w:spacing w:val="-2"/>
          <w:lang w:val="en"/>
        </w:rPr>
        <w:t xml:space="preserve"> applies:</w:t>
      </w:r>
      <w:r>
        <w:rPr>
          <w:lang w:val="en"/>
        </w:rPr>
        <w:tab/>
        <w:t>The whole</w:t>
      </w:r>
      <w:r>
        <w:rPr>
          <w:spacing w:val="-2"/>
          <w:lang w:val="en"/>
        </w:rPr>
        <w:t xml:space="preserve"> world</w:t>
      </w:r>
    </w:p>
    <w:p w14:paraId="414D7E19" w14:textId="77777777" w:rsidR="008B7712" w:rsidRDefault="008B7712">
      <w:pPr>
        <w:pStyle w:val="BodyText"/>
        <w:ind w:left="0"/>
      </w:pPr>
    </w:p>
    <w:p w14:paraId="54EB6A9C" w14:textId="77777777" w:rsidR="008B7712" w:rsidRDefault="004A33EF">
      <w:pPr>
        <w:pStyle w:val="BodyText"/>
        <w:tabs>
          <w:tab w:val="left" w:pos="2964"/>
        </w:tabs>
        <w:ind w:right="5682"/>
      </w:pPr>
      <w:r>
        <w:rPr>
          <w:lang w:val="en"/>
        </w:rPr>
        <w:t>The insurance is valid from:</w:t>
      </w:r>
      <w:r>
        <w:rPr>
          <w:lang w:val="en"/>
        </w:rPr>
        <w:tab/>
      </w:r>
      <w:r>
        <w:rPr>
          <w:spacing w:val="-2"/>
          <w:lang w:val="en"/>
        </w:rPr>
        <w:t xml:space="preserve">Card issuance date </w:t>
      </w:r>
      <w:r>
        <w:rPr>
          <w:lang w:val="en"/>
        </w:rPr>
        <w:t>The insurance is valid until:</w:t>
      </w:r>
      <w:r>
        <w:rPr>
          <w:lang w:val="en"/>
        </w:rPr>
        <w:tab/>
        <w:t>Termination of the card agreement *</w:t>
      </w:r>
    </w:p>
    <w:p w14:paraId="6665C13B" w14:textId="77777777" w:rsidR="008B7712" w:rsidRDefault="008B7712">
      <w:pPr>
        <w:pStyle w:val="BodyText"/>
        <w:spacing w:before="3"/>
        <w:ind w:left="0"/>
      </w:pPr>
    </w:p>
    <w:p w14:paraId="68B2D71D" w14:textId="77777777" w:rsidR="008B7712" w:rsidRDefault="004A33EF">
      <w:pPr>
        <w:pStyle w:val="BodyText"/>
        <w:spacing w:line="237" w:lineRule="auto"/>
      </w:pPr>
      <w:r>
        <w:rPr>
          <w:lang w:val="en"/>
        </w:rPr>
        <w:t>The insurance agreement associated with the account/card agreement terminates when the agreement between the cardholder and DNB Bank ASA has been terminated.</w:t>
      </w:r>
    </w:p>
    <w:p w14:paraId="2FF355D8" w14:textId="77777777" w:rsidR="008B7712" w:rsidRDefault="008B7712">
      <w:pPr>
        <w:pStyle w:val="BodyText"/>
        <w:ind w:left="0"/>
        <w:rPr>
          <w:sz w:val="20"/>
        </w:rPr>
      </w:pPr>
    </w:p>
    <w:p w14:paraId="2530FEEF" w14:textId="77777777" w:rsidR="008B7712" w:rsidRDefault="008B7712">
      <w:pPr>
        <w:pStyle w:val="BodyText"/>
        <w:spacing w:before="2"/>
        <w:ind w:left="0"/>
      </w:pPr>
    </w:p>
    <w:tbl>
      <w:tblPr>
        <w:tblW w:w="0" w:type="auto"/>
        <w:tblInd w:w="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02"/>
        <w:gridCol w:w="2410"/>
        <w:gridCol w:w="2410"/>
      </w:tblGrid>
      <w:tr w:rsidR="008B7712" w14:paraId="5AD09F4E" w14:textId="77777777">
        <w:trPr>
          <w:trHeight w:val="201"/>
        </w:trPr>
        <w:tc>
          <w:tcPr>
            <w:tcW w:w="3702" w:type="dxa"/>
            <w:tcBorders>
              <w:top w:val="nil"/>
              <w:left w:val="nil"/>
              <w:right w:val="nil"/>
            </w:tcBorders>
          </w:tcPr>
          <w:p w14:paraId="63B0EAE4" w14:textId="77777777" w:rsidR="008B7712" w:rsidRDefault="004A33EF">
            <w:pPr>
              <w:pStyle w:val="TableParagraph"/>
              <w:spacing w:line="182" w:lineRule="exact"/>
              <w:ind w:left="127"/>
              <w:rPr>
                <w:sz w:val="20"/>
              </w:rPr>
            </w:pPr>
            <w:r>
              <w:rPr>
                <w:sz w:val="20"/>
                <w:lang w:val="en"/>
              </w:rPr>
              <w:t>The insurance</w:t>
            </w:r>
            <w:r>
              <w:rPr>
                <w:spacing w:val="-2"/>
                <w:sz w:val="20"/>
                <w:lang w:val="en"/>
              </w:rPr>
              <w:t xml:space="preserve"> includes:</w:t>
            </w:r>
          </w:p>
        </w:tc>
        <w:tc>
          <w:tcPr>
            <w:tcW w:w="2410" w:type="dxa"/>
            <w:tcBorders>
              <w:top w:val="nil"/>
              <w:left w:val="nil"/>
              <w:right w:val="nil"/>
            </w:tcBorders>
          </w:tcPr>
          <w:p w14:paraId="15302564" w14:textId="77777777" w:rsidR="008B7712" w:rsidRDefault="004A33EF">
            <w:pPr>
              <w:pStyle w:val="TableParagraph"/>
              <w:spacing w:line="182" w:lineRule="exact"/>
              <w:ind w:right="142"/>
              <w:jc w:val="right"/>
              <w:rPr>
                <w:sz w:val="20"/>
              </w:rPr>
            </w:pPr>
            <w:r>
              <w:rPr>
                <w:spacing w:val="-2"/>
                <w:sz w:val="20"/>
                <w:lang w:val="en"/>
              </w:rPr>
              <w:t>Sum insured:</w:t>
            </w:r>
          </w:p>
        </w:tc>
        <w:tc>
          <w:tcPr>
            <w:tcW w:w="2410" w:type="dxa"/>
            <w:tcBorders>
              <w:top w:val="nil"/>
              <w:left w:val="nil"/>
              <w:right w:val="nil"/>
            </w:tcBorders>
          </w:tcPr>
          <w:p w14:paraId="73172AC4" w14:textId="77777777" w:rsidR="008B7712" w:rsidRDefault="004A33EF">
            <w:pPr>
              <w:pStyle w:val="TableParagraph"/>
              <w:spacing w:line="182" w:lineRule="exact"/>
              <w:ind w:right="138"/>
              <w:jc w:val="right"/>
              <w:rPr>
                <w:sz w:val="20"/>
              </w:rPr>
            </w:pPr>
            <w:r>
              <w:rPr>
                <w:spacing w:val="-2"/>
                <w:sz w:val="20"/>
                <w:lang w:val="en"/>
              </w:rPr>
              <w:t>Deductible:</w:t>
            </w:r>
          </w:p>
        </w:tc>
      </w:tr>
      <w:tr w:rsidR="008B7712" w14:paraId="204DAE7A" w14:textId="77777777">
        <w:trPr>
          <w:trHeight w:val="361"/>
        </w:trPr>
        <w:tc>
          <w:tcPr>
            <w:tcW w:w="3702" w:type="dxa"/>
            <w:tcBorders>
              <w:left w:val="nil"/>
              <w:bottom w:val="single" w:sz="4" w:space="0" w:color="000000"/>
              <w:right w:val="single" w:sz="4" w:space="0" w:color="000000"/>
            </w:tcBorders>
          </w:tcPr>
          <w:p w14:paraId="107C6827" w14:textId="77777777" w:rsidR="008B7712" w:rsidRDefault="004A33EF">
            <w:pPr>
              <w:pStyle w:val="TableParagraph"/>
              <w:spacing w:before="58"/>
              <w:ind w:left="122"/>
              <w:rPr>
                <w:sz w:val="20"/>
              </w:rPr>
            </w:pPr>
            <w:r>
              <w:rPr>
                <w:spacing w:val="-2"/>
                <w:sz w:val="20"/>
                <w:lang w:val="en"/>
              </w:rPr>
              <w:t>Travel insurance</w:t>
            </w:r>
          </w:p>
        </w:tc>
        <w:tc>
          <w:tcPr>
            <w:tcW w:w="2410" w:type="dxa"/>
            <w:tcBorders>
              <w:left w:val="single" w:sz="4" w:space="0" w:color="000000"/>
              <w:bottom w:val="single" w:sz="4" w:space="0" w:color="000000"/>
              <w:right w:val="single" w:sz="4" w:space="0" w:color="000000"/>
            </w:tcBorders>
          </w:tcPr>
          <w:p w14:paraId="0FB45A77" w14:textId="77777777" w:rsidR="008B7712" w:rsidRDefault="008B7712">
            <w:pPr>
              <w:pStyle w:val="TableParagraph"/>
              <w:rPr>
                <w:rFonts w:ascii="Times New Roman"/>
                <w:sz w:val="20"/>
              </w:rPr>
            </w:pPr>
          </w:p>
        </w:tc>
        <w:tc>
          <w:tcPr>
            <w:tcW w:w="2410" w:type="dxa"/>
            <w:tcBorders>
              <w:left w:val="single" w:sz="4" w:space="0" w:color="000000"/>
              <w:bottom w:val="single" w:sz="4" w:space="0" w:color="000000"/>
              <w:right w:val="single" w:sz="4" w:space="0" w:color="000000"/>
            </w:tcBorders>
          </w:tcPr>
          <w:p w14:paraId="14FF46D9" w14:textId="77777777" w:rsidR="008B7712" w:rsidRDefault="008B7712">
            <w:pPr>
              <w:pStyle w:val="TableParagraph"/>
              <w:rPr>
                <w:rFonts w:ascii="Times New Roman"/>
                <w:sz w:val="20"/>
              </w:rPr>
            </w:pPr>
          </w:p>
        </w:tc>
      </w:tr>
      <w:tr w:rsidR="008B7712" w14:paraId="697E916A" w14:textId="77777777">
        <w:trPr>
          <w:trHeight w:val="357"/>
        </w:trPr>
        <w:tc>
          <w:tcPr>
            <w:tcW w:w="3702" w:type="dxa"/>
            <w:tcBorders>
              <w:top w:val="single" w:sz="4" w:space="0" w:color="000000"/>
              <w:left w:val="nil"/>
              <w:bottom w:val="single" w:sz="4" w:space="0" w:color="000000"/>
              <w:right w:val="single" w:sz="4" w:space="0" w:color="000000"/>
            </w:tcBorders>
          </w:tcPr>
          <w:p w14:paraId="5F2B4846" w14:textId="77777777" w:rsidR="008B7712" w:rsidRDefault="004A33EF">
            <w:pPr>
              <w:pStyle w:val="TableParagraph"/>
              <w:spacing w:before="56"/>
              <w:ind w:left="122"/>
              <w:rPr>
                <w:sz w:val="20"/>
              </w:rPr>
            </w:pPr>
            <w:r>
              <w:rPr>
                <w:spacing w:val="-2"/>
                <w:sz w:val="20"/>
                <w:lang w:val="en"/>
              </w:rPr>
              <w:t>Luggage</w:t>
            </w:r>
          </w:p>
        </w:tc>
        <w:tc>
          <w:tcPr>
            <w:tcW w:w="2410" w:type="dxa"/>
            <w:tcBorders>
              <w:top w:val="single" w:sz="4" w:space="0" w:color="000000"/>
              <w:left w:val="single" w:sz="4" w:space="0" w:color="000000"/>
              <w:bottom w:val="single" w:sz="4" w:space="0" w:color="000000"/>
              <w:right w:val="single" w:sz="4" w:space="0" w:color="000000"/>
            </w:tcBorders>
          </w:tcPr>
          <w:p w14:paraId="1A8089FC" w14:textId="77777777" w:rsidR="008B7712" w:rsidRDefault="004A33EF">
            <w:pPr>
              <w:pStyle w:val="TableParagraph"/>
              <w:spacing w:before="56"/>
              <w:ind w:right="101"/>
              <w:jc w:val="right"/>
              <w:rPr>
                <w:sz w:val="20"/>
              </w:rPr>
            </w:pPr>
            <w:r>
              <w:rPr>
                <w:sz w:val="20"/>
                <w:lang w:val="en"/>
              </w:rPr>
              <w:t>30</w:t>
            </w:r>
            <w:r>
              <w:rPr>
                <w:spacing w:val="-5"/>
                <w:sz w:val="20"/>
                <w:lang w:val="en"/>
              </w:rPr>
              <w:t xml:space="preserve"> 000</w:t>
            </w:r>
          </w:p>
        </w:tc>
        <w:tc>
          <w:tcPr>
            <w:tcW w:w="2410" w:type="dxa"/>
            <w:tcBorders>
              <w:top w:val="single" w:sz="4" w:space="0" w:color="000000"/>
              <w:left w:val="single" w:sz="4" w:space="0" w:color="000000"/>
              <w:bottom w:val="single" w:sz="4" w:space="0" w:color="000000"/>
              <w:right w:val="single" w:sz="4" w:space="0" w:color="000000"/>
            </w:tcBorders>
          </w:tcPr>
          <w:p w14:paraId="503A593E" w14:textId="77777777" w:rsidR="008B7712" w:rsidRDefault="004A33EF">
            <w:pPr>
              <w:pStyle w:val="TableParagraph"/>
              <w:spacing w:before="56"/>
              <w:ind w:right="98"/>
              <w:jc w:val="right"/>
              <w:rPr>
                <w:sz w:val="20"/>
              </w:rPr>
            </w:pPr>
            <w:r>
              <w:rPr>
                <w:spacing w:val="-5"/>
                <w:sz w:val="20"/>
                <w:lang w:val="en"/>
              </w:rPr>
              <w:t>500</w:t>
            </w:r>
          </w:p>
        </w:tc>
      </w:tr>
      <w:tr w:rsidR="008B7712" w14:paraId="0537DC13" w14:textId="77777777">
        <w:trPr>
          <w:trHeight w:val="360"/>
        </w:trPr>
        <w:tc>
          <w:tcPr>
            <w:tcW w:w="3702" w:type="dxa"/>
            <w:tcBorders>
              <w:top w:val="single" w:sz="4" w:space="0" w:color="000000"/>
              <w:left w:val="nil"/>
              <w:bottom w:val="single" w:sz="4" w:space="0" w:color="000000"/>
              <w:right w:val="single" w:sz="4" w:space="0" w:color="000000"/>
            </w:tcBorders>
          </w:tcPr>
          <w:p w14:paraId="379D6CF2" w14:textId="77777777" w:rsidR="008B7712" w:rsidRDefault="004A33EF">
            <w:pPr>
              <w:pStyle w:val="TableParagraph"/>
              <w:spacing w:before="59"/>
              <w:ind w:left="122"/>
              <w:rPr>
                <w:sz w:val="20"/>
              </w:rPr>
            </w:pPr>
            <w:r>
              <w:rPr>
                <w:spacing w:val="-2"/>
                <w:sz w:val="20"/>
                <w:lang w:val="en"/>
              </w:rPr>
              <w:t>Reisesyke</w:t>
            </w:r>
          </w:p>
        </w:tc>
        <w:tc>
          <w:tcPr>
            <w:tcW w:w="2410" w:type="dxa"/>
            <w:tcBorders>
              <w:top w:val="single" w:sz="4" w:space="0" w:color="000000"/>
              <w:left w:val="single" w:sz="4" w:space="0" w:color="000000"/>
              <w:bottom w:val="single" w:sz="4" w:space="0" w:color="000000"/>
              <w:right w:val="single" w:sz="4" w:space="0" w:color="000000"/>
            </w:tcBorders>
          </w:tcPr>
          <w:p w14:paraId="2D6946CC" w14:textId="77777777" w:rsidR="008B7712" w:rsidRDefault="004A33EF">
            <w:pPr>
              <w:pStyle w:val="TableParagraph"/>
              <w:spacing w:before="59"/>
              <w:ind w:right="101"/>
              <w:jc w:val="right"/>
              <w:rPr>
                <w:sz w:val="20"/>
              </w:rPr>
            </w:pPr>
            <w:r>
              <w:rPr>
                <w:spacing w:val="-2"/>
                <w:sz w:val="20"/>
                <w:lang w:val="en"/>
              </w:rPr>
              <w:t>Unlimited</w:t>
            </w:r>
          </w:p>
        </w:tc>
        <w:tc>
          <w:tcPr>
            <w:tcW w:w="2410" w:type="dxa"/>
            <w:tcBorders>
              <w:top w:val="single" w:sz="4" w:space="0" w:color="000000"/>
              <w:left w:val="single" w:sz="4" w:space="0" w:color="000000"/>
              <w:bottom w:val="single" w:sz="4" w:space="0" w:color="000000"/>
              <w:right w:val="single" w:sz="4" w:space="0" w:color="000000"/>
            </w:tcBorders>
          </w:tcPr>
          <w:p w14:paraId="3ACDD381" w14:textId="77777777" w:rsidR="008B7712" w:rsidRDefault="008B7712">
            <w:pPr>
              <w:pStyle w:val="TableParagraph"/>
              <w:rPr>
                <w:rFonts w:ascii="Times New Roman"/>
                <w:sz w:val="20"/>
              </w:rPr>
            </w:pPr>
          </w:p>
        </w:tc>
      </w:tr>
      <w:tr w:rsidR="008B7712" w14:paraId="7DCCB503" w14:textId="77777777">
        <w:trPr>
          <w:trHeight w:val="357"/>
        </w:trPr>
        <w:tc>
          <w:tcPr>
            <w:tcW w:w="3702" w:type="dxa"/>
            <w:tcBorders>
              <w:top w:val="single" w:sz="4" w:space="0" w:color="000000"/>
              <w:left w:val="nil"/>
              <w:bottom w:val="single" w:sz="4" w:space="0" w:color="000000"/>
              <w:right w:val="single" w:sz="4" w:space="0" w:color="000000"/>
            </w:tcBorders>
          </w:tcPr>
          <w:p w14:paraId="4B028112" w14:textId="77777777" w:rsidR="008B7712" w:rsidRDefault="004A33EF">
            <w:pPr>
              <w:pStyle w:val="TableParagraph"/>
              <w:spacing w:before="56"/>
              <w:ind w:left="122"/>
              <w:rPr>
                <w:sz w:val="20"/>
              </w:rPr>
            </w:pPr>
            <w:r>
              <w:rPr>
                <w:spacing w:val="-2"/>
                <w:sz w:val="20"/>
                <w:lang w:val="en"/>
              </w:rPr>
              <w:t>Ulykkesskade</w:t>
            </w:r>
          </w:p>
        </w:tc>
        <w:tc>
          <w:tcPr>
            <w:tcW w:w="2410" w:type="dxa"/>
            <w:tcBorders>
              <w:top w:val="single" w:sz="4" w:space="0" w:color="000000"/>
              <w:left w:val="single" w:sz="4" w:space="0" w:color="000000"/>
              <w:bottom w:val="single" w:sz="4" w:space="0" w:color="000000"/>
              <w:right w:val="single" w:sz="4" w:space="0" w:color="000000"/>
            </w:tcBorders>
          </w:tcPr>
          <w:p w14:paraId="3A1E63E9" w14:textId="77777777" w:rsidR="008B7712" w:rsidRDefault="004A33EF">
            <w:pPr>
              <w:pStyle w:val="TableParagraph"/>
              <w:spacing w:before="56"/>
              <w:ind w:right="100"/>
              <w:jc w:val="right"/>
              <w:rPr>
                <w:sz w:val="20"/>
              </w:rPr>
            </w:pPr>
            <w:r>
              <w:rPr>
                <w:sz w:val="20"/>
                <w:lang w:val="en"/>
              </w:rPr>
              <w:t>See</w:t>
            </w:r>
            <w:r>
              <w:rPr>
                <w:spacing w:val="-2"/>
                <w:sz w:val="20"/>
                <w:lang w:val="en"/>
              </w:rPr>
              <w:t xml:space="preserve"> terms</w:t>
            </w:r>
          </w:p>
        </w:tc>
        <w:tc>
          <w:tcPr>
            <w:tcW w:w="2410" w:type="dxa"/>
            <w:tcBorders>
              <w:top w:val="single" w:sz="4" w:space="0" w:color="000000"/>
              <w:left w:val="single" w:sz="4" w:space="0" w:color="000000"/>
              <w:bottom w:val="single" w:sz="4" w:space="0" w:color="000000"/>
              <w:right w:val="single" w:sz="4" w:space="0" w:color="000000"/>
            </w:tcBorders>
          </w:tcPr>
          <w:p w14:paraId="3AEBA95A" w14:textId="77777777" w:rsidR="008B7712" w:rsidRDefault="004A33EF">
            <w:pPr>
              <w:pStyle w:val="TableParagraph"/>
              <w:spacing w:before="56"/>
              <w:ind w:right="98"/>
              <w:jc w:val="right"/>
              <w:rPr>
                <w:sz w:val="20"/>
              </w:rPr>
            </w:pPr>
            <w:r>
              <w:rPr>
                <w:spacing w:val="-5"/>
                <w:sz w:val="20"/>
                <w:lang w:val="en"/>
              </w:rPr>
              <w:t>500</w:t>
            </w:r>
          </w:p>
        </w:tc>
      </w:tr>
      <w:tr w:rsidR="008B7712" w14:paraId="6F2AC155" w14:textId="77777777">
        <w:trPr>
          <w:trHeight w:val="357"/>
        </w:trPr>
        <w:tc>
          <w:tcPr>
            <w:tcW w:w="3702" w:type="dxa"/>
            <w:tcBorders>
              <w:top w:val="single" w:sz="4" w:space="0" w:color="000000"/>
              <w:left w:val="nil"/>
              <w:bottom w:val="single" w:sz="4" w:space="0" w:color="000000"/>
              <w:right w:val="single" w:sz="4" w:space="0" w:color="000000"/>
            </w:tcBorders>
          </w:tcPr>
          <w:p w14:paraId="314933B2" w14:textId="77777777" w:rsidR="008B7712" w:rsidRDefault="004A33EF">
            <w:pPr>
              <w:pStyle w:val="TableParagraph"/>
              <w:spacing w:before="59"/>
              <w:ind w:left="122"/>
              <w:rPr>
                <w:sz w:val="20"/>
              </w:rPr>
            </w:pPr>
            <w:r>
              <w:rPr>
                <w:spacing w:val="-2"/>
                <w:sz w:val="20"/>
                <w:lang w:val="en"/>
              </w:rPr>
              <w:t>Treatment expenses in the event of accidental damage</w:t>
            </w:r>
          </w:p>
        </w:tc>
        <w:tc>
          <w:tcPr>
            <w:tcW w:w="2410" w:type="dxa"/>
            <w:tcBorders>
              <w:top w:val="single" w:sz="4" w:space="0" w:color="000000"/>
              <w:left w:val="single" w:sz="4" w:space="0" w:color="000000"/>
              <w:bottom w:val="single" w:sz="4" w:space="0" w:color="000000"/>
              <w:right w:val="single" w:sz="4" w:space="0" w:color="000000"/>
            </w:tcBorders>
          </w:tcPr>
          <w:p w14:paraId="6050F407" w14:textId="77777777" w:rsidR="008B7712" w:rsidRDefault="004A33EF">
            <w:pPr>
              <w:pStyle w:val="TableParagraph"/>
              <w:spacing w:before="59"/>
              <w:ind w:right="100"/>
              <w:jc w:val="right"/>
              <w:rPr>
                <w:sz w:val="20"/>
              </w:rPr>
            </w:pPr>
            <w:r>
              <w:rPr>
                <w:sz w:val="20"/>
                <w:lang w:val="en"/>
              </w:rPr>
              <w:t>See</w:t>
            </w:r>
            <w:r>
              <w:rPr>
                <w:spacing w:val="-2"/>
                <w:sz w:val="20"/>
                <w:lang w:val="en"/>
              </w:rPr>
              <w:t xml:space="preserve"> terms</w:t>
            </w:r>
          </w:p>
        </w:tc>
        <w:tc>
          <w:tcPr>
            <w:tcW w:w="2410" w:type="dxa"/>
            <w:tcBorders>
              <w:top w:val="single" w:sz="4" w:space="0" w:color="000000"/>
              <w:left w:val="single" w:sz="4" w:space="0" w:color="000000"/>
              <w:bottom w:val="single" w:sz="4" w:space="0" w:color="000000"/>
              <w:right w:val="single" w:sz="4" w:space="0" w:color="000000"/>
            </w:tcBorders>
          </w:tcPr>
          <w:p w14:paraId="1CAE8B82" w14:textId="77777777" w:rsidR="008B7712" w:rsidRDefault="008B7712">
            <w:pPr>
              <w:pStyle w:val="TableParagraph"/>
              <w:rPr>
                <w:rFonts w:ascii="Times New Roman"/>
                <w:sz w:val="20"/>
              </w:rPr>
            </w:pPr>
          </w:p>
        </w:tc>
      </w:tr>
      <w:tr w:rsidR="008B7712" w14:paraId="472BF554" w14:textId="77777777">
        <w:trPr>
          <w:trHeight w:val="359"/>
        </w:trPr>
        <w:tc>
          <w:tcPr>
            <w:tcW w:w="3702" w:type="dxa"/>
            <w:tcBorders>
              <w:top w:val="single" w:sz="4" w:space="0" w:color="000000"/>
              <w:left w:val="nil"/>
              <w:bottom w:val="single" w:sz="4" w:space="0" w:color="000000"/>
              <w:right w:val="single" w:sz="4" w:space="0" w:color="000000"/>
            </w:tcBorders>
          </w:tcPr>
          <w:p w14:paraId="5647C22E" w14:textId="77777777" w:rsidR="008B7712" w:rsidRDefault="004A33EF">
            <w:pPr>
              <w:pStyle w:val="TableParagraph"/>
              <w:spacing w:before="59"/>
              <w:ind w:left="122"/>
              <w:rPr>
                <w:sz w:val="20"/>
              </w:rPr>
            </w:pPr>
            <w:r>
              <w:rPr>
                <w:spacing w:val="-2"/>
                <w:sz w:val="20"/>
                <w:lang w:val="en"/>
              </w:rPr>
              <w:t>Avbestillingsforsikring</w:t>
            </w:r>
          </w:p>
        </w:tc>
        <w:tc>
          <w:tcPr>
            <w:tcW w:w="2410" w:type="dxa"/>
            <w:tcBorders>
              <w:top w:val="single" w:sz="4" w:space="0" w:color="000000"/>
              <w:left w:val="single" w:sz="4" w:space="0" w:color="000000"/>
              <w:bottom w:val="single" w:sz="4" w:space="0" w:color="000000"/>
              <w:right w:val="single" w:sz="4" w:space="0" w:color="000000"/>
            </w:tcBorders>
          </w:tcPr>
          <w:p w14:paraId="19F1328F" w14:textId="77777777" w:rsidR="008B7712" w:rsidRDefault="004A33EF">
            <w:pPr>
              <w:pStyle w:val="TableParagraph"/>
              <w:spacing w:before="59"/>
              <w:ind w:right="101"/>
              <w:jc w:val="right"/>
              <w:rPr>
                <w:sz w:val="20"/>
              </w:rPr>
            </w:pPr>
            <w:r>
              <w:rPr>
                <w:sz w:val="20"/>
                <w:lang w:val="en"/>
              </w:rPr>
              <w:t>50</w:t>
            </w:r>
            <w:r>
              <w:rPr>
                <w:spacing w:val="-5"/>
                <w:sz w:val="20"/>
                <w:lang w:val="en"/>
              </w:rPr>
              <w:t xml:space="preserve"> 000</w:t>
            </w:r>
          </w:p>
        </w:tc>
        <w:tc>
          <w:tcPr>
            <w:tcW w:w="2410" w:type="dxa"/>
            <w:tcBorders>
              <w:top w:val="single" w:sz="4" w:space="0" w:color="000000"/>
              <w:left w:val="single" w:sz="4" w:space="0" w:color="000000"/>
              <w:bottom w:val="single" w:sz="4" w:space="0" w:color="000000"/>
              <w:right w:val="single" w:sz="4" w:space="0" w:color="000000"/>
            </w:tcBorders>
          </w:tcPr>
          <w:p w14:paraId="552D553D" w14:textId="77777777" w:rsidR="008B7712" w:rsidRDefault="008B7712">
            <w:pPr>
              <w:pStyle w:val="TableParagraph"/>
              <w:rPr>
                <w:rFonts w:ascii="Times New Roman"/>
                <w:sz w:val="20"/>
              </w:rPr>
            </w:pPr>
          </w:p>
        </w:tc>
      </w:tr>
      <w:tr w:rsidR="008B7712" w14:paraId="791BF187" w14:textId="77777777">
        <w:trPr>
          <w:trHeight w:val="357"/>
        </w:trPr>
        <w:tc>
          <w:tcPr>
            <w:tcW w:w="3702" w:type="dxa"/>
            <w:tcBorders>
              <w:top w:val="single" w:sz="4" w:space="0" w:color="000000"/>
              <w:left w:val="nil"/>
              <w:bottom w:val="single" w:sz="4" w:space="0" w:color="000000"/>
              <w:right w:val="single" w:sz="4" w:space="0" w:color="000000"/>
            </w:tcBorders>
          </w:tcPr>
          <w:p w14:paraId="7C6F6E21" w14:textId="77777777" w:rsidR="008B7712" w:rsidRDefault="004A33EF">
            <w:pPr>
              <w:pStyle w:val="TableParagraph"/>
              <w:spacing w:before="56"/>
              <w:ind w:left="122"/>
              <w:rPr>
                <w:sz w:val="20"/>
              </w:rPr>
            </w:pPr>
            <w:r>
              <w:rPr>
                <w:spacing w:val="-2"/>
                <w:sz w:val="20"/>
                <w:lang w:val="en"/>
              </w:rPr>
              <w:t>Responsibility</w:t>
            </w:r>
          </w:p>
        </w:tc>
        <w:tc>
          <w:tcPr>
            <w:tcW w:w="2410" w:type="dxa"/>
            <w:tcBorders>
              <w:top w:val="single" w:sz="4" w:space="0" w:color="000000"/>
              <w:left w:val="single" w:sz="4" w:space="0" w:color="000000"/>
              <w:bottom w:val="single" w:sz="4" w:space="0" w:color="000000"/>
              <w:right w:val="single" w:sz="4" w:space="0" w:color="000000"/>
            </w:tcBorders>
          </w:tcPr>
          <w:p w14:paraId="59E0E74A" w14:textId="77777777" w:rsidR="008B7712" w:rsidRDefault="004A33EF">
            <w:pPr>
              <w:pStyle w:val="TableParagraph"/>
              <w:spacing w:before="56"/>
              <w:ind w:right="101"/>
              <w:jc w:val="right"/>
              <w:rPr>
                <w:sz w:val="20"/>
              </w:rPr>
            </w:pPr>
            <w:r>
              <w:rPr>
                <w:sz w:val="20"/>
                <w:lang w:val="en"/>
              </w:rPr>
              <w:t>10 000</w:t>
            </w:r>
            <w:r>
              <w:rPr>
                <w:spacing w:val="-5"/>
                <w:sz w:val="20"/>
                <w:lang w:val="en"/>
              </w:rPr>
              <w:t xml:space="preserve"> 000</w:t>
            </w:r>
          </w:p>
        </w:tc>
        <w:tc>
          <w:tcPr>
            <w:tcW w:w="2410" w:type="dxa"/>
            <w:tcBorders>
              <w:top w:val="single" w:sz="4" w:space="0" w:color="000000"/>
              <w:left w:val="single" w:sz="4" w:space="0" w:color="000000"/>
              <w:bottom w:val="single" w:sz="4" w:space="0" w:color="000000"/>
              <w:right w:val="single" w:sz="4" w:space="0" w:color="000000"/>
            </w:tcBorders>
          </w:tcPr>
          <w:p w14:paraId="2415F31A" w14:textId="77777777" w:rsidR="008B7712" w:rsidRDefault="008B7712">
            <w:pPr>
              <w:pStyle w:val="TableParagraph"/>
              <w:rPr>
                <w:rFonts w:ascii="Times New Roman"/>
                <w:sz w:val="20"/>
              </w:rPr>
            </w:pPr>
          </w:p>
        </w:tc>
      </w:tr>
      <w:tr w:rsidR="008B7712" w14:paraId="4E9A2FF9" w14:textId="77777777">
        <w:trPr>
          <w:trHeight w:val="359"/>
        </w:trPr>
        <w:tc>
          <w:tcPr>
            <w:tcW w:w="3702" w:type="dxa"/>
            <w:tcBorders>
              <w:top w:val="single" w:sz="4" w:space="0" w:color="000000"/>
              <w:left w:val="nil"/>
              <w:bottom w:val="single" w:sz="4" w:space="0" w:color="000000"/>
              <w:right w:val="single" w:sz="4" w:space="0" w:color="000000"/>
            </w:tcBorders>
          </w:tcPr>
          <w:p w14:paraId="400DB404" w14:textId="77777777" w:rsidR="008B7712" w:rsidRDefault="004A33EF">
            <w:pPr>
              <w:pStyle w:val="TableParagraph"/>
              <w:spacing w:before="59"/>
              <w:ind w:left="122"/>
              <w:rPr>
                <w:sz w:val="20"/>
              </w:rPr>
            </w:pPr>
            <w:r>
              <w:rPr>
                <w:spacing w:val="-2"/>
                <w:sz w:val="20"/>
                <w:lang w:val="en"/>
              </w:rPr>
              <w:t>Legal aid</w:t>
            </w:r>
          </w:p>
        </w:tc>
        <w:tc>
          <w:tcPr>
            <w:tcW w:w="2410" w:type="dxa"/>
            <w:tcBorders>
              <w:top w:val="single" w:sz="4" w:space="0" w:color="000000"/>
              <w:left w:val="single" w:sz="4" w:space="0" w:color="000000"/>
              <w:bottom w:val="single" w:sz="4" w:space="0" w:color="000000"/>
              <w:right w:val="single" w:sz="4" w:space="0" w:color="000000"/>
            </w:tcBorders>
          </w:tcPr>
          <w:p w14:paraId="68BFCD8D" w14:textId="77777777" w:rsidR="008B7712" w:rsidRDefault="004A33EF">
            <w:pPr>
              <w:pStyle w:val="TableParagraph"/>
              <w:spacing w:before="59"/>
              <w:ind w:right="100"/>
              <w:jc w:val="right"/>
              <w:rPr>
                <w:sz w:val="20"/>
              </w:rPr>
            </w:pPr>
            <w:r>
              <w:rPr>
                <w:sz w:val="20"/>
                <w:lang w:val="en"/>
              </w:rPr>
              <w:t>100</w:t>
            </w:r>
            <w:r>
              <w:rPr>
                <w:spacing w:val="-5"/>
                <w:sz w:val="20"/>
                <w:lang w:val="en"/>
              </w:rPr>
              <w:t xml:space="preserve"> 000</w:t>
            </w:r>
          </w:p>
        </w:tc>
        <w:tc>
          <w:tcPr>
            <w:tcW w:w="2410" w:type="dxa"/>
            <w:tcBorders>
              <w:top w:val="single" w:sz="4" w:space="0" w:color="000000"/>
              <w:left w:val="single" w:sz="4" w:space="0" w:color="000000"/>
              <w:bottom w:val="single" w:sz="4" w:space="0" w:color="000000"/>
              <w:right w:val="single" w:sz="4" w:space="0" w:color="000000"/>
            </w:tcBorders>
          </w:tcPr>
          <w:p w14:paraId="213D7ABC" w14:textId="77777777" w:rsidR="008B7712" w:rsidRDefault="004A33EF">
            <w:pPr>
              <w:pStyle w:val="TableParagraph"/>
              <w:spacing w:before="59"/>
              <w:ind w:right="97"/>
              <w:jc w:val="right"/>
              <w:rPr>
                <w:sz w:val="20"/>
              </w:rPr>
            </w:pPr>
            <w:r>
              <w:rPr>
                <w:spacing w:val="-5"/>
                <w:sz w:val="20"/>
                <w:lang w:val="en"/>
              </w:rPr>
              <w:t>20%</w:t>
            </w:r>
          </w:p>
        </w:tc>
      </w:tr>
    </w:tbl>
    <w:p w14:paraId="0C2F4DB5" w14:textId="77777777" w:rsidR="008B7712" w:rsidRDefault="008B7712">
      <w:pPr>
        <w:pStyle w:val="BodyText"/>
        <w:spacing w:before="9"/>
        <w:ind w:left="0"/>
        <w:rPr>
          <w:sz w:val="29"/>
        </w:rPr>
      </w:pPr>
    </w:p>
    <w:p w14:paraId="0DC4E1F6" w14:textId="77777777" w:rsidR="008B7712" w:rsidRDefault="004A33EF">
      <w:pPr>
        <w:pStyle w:val="BodyText"/>
        <w:spacing w:before="57"/>
      </w:pPr>
      <w:r>
        <w:rPr>
          <w:lang w:val="en"/>
        </w:rPr>
        <w:t>Are you sick before</w:t>
      </w:r>
      <w:r>
        <w:rPr>
          <w:spacing w:val="-2"/>
          <w:lang w:val="en"/>
        </w:rPr>
        <w:t xml:space="preserve"> travel?</w:t>
      </w:r>
    </w:p>
    <w:p w14:paraId="551D5F9A" w14:textId="77777777" w:rsidR="008B7712" w:rsidRDefault="004A33EF">
      <w:pPr>
        <w:pStyle w:val="BodyText"/>
        <w:ind w:right="256"/>
      </w:pPr>
      <w:r>
        <w:rPr>
          <w:lang w:val="en"/>
        </w:rPr>
        <w:t>The travel insurance only covers acute and unforeseen illness/injury to the trip, and illness/injury that was known before departure will not be covered. If you have  therefore recently been seriously ill, have a serious illness, chronic illness or have been the victim of an accident, we recommend youin a medical pre-assessment before you travel.</w:t>
      </w:r>
    </w:p>
    <w:p w14:paraId="62E96A7D" w14:textId="77777777" w:rsidR="008B7712" w:rsidRDefault="008B7712">
      <w:pPr>
        <w:pStyle w:val="BodyText"/>
        <w:spacing w:before="1"/>
        <w:ind w:left="0"/>
      </w:pPr>
    </w:p>
    <w:p w14:paraId="2FA72B8E" w14:textId="77777777" w:rsidR="008B7712" w:rsidRDefault="004A33EF">
      <w:pPr>
        <w:pStyle w:val="BodyText"/>
        <w:ind w:right="256"/>
      </w:pPr>
      <w:r>
        <w:rPr>
          <w:lang w:val="en"/>
        </w:rPr>
        <w:t xml:space="preserve"> Feel free to contact  our partner SOS International by phone +47 22 96 50 55 every day between  09:00 and 16:00, or by e-mail: </w:t>
      </w:r>
      <w:hyperlink r:id="rId7">
        <w:r>
          <w:rPr>
            <w:lang w:val="en"/>
          </w:rPr>
          <w:t>sos@sos.dk.</w:t>
        </w:r>
      </w:hyperlink>
      <w:r>
        <w:rPr>
          <w:lang w:val="en"/>
        </w:rPr>
        <w:t xml:space="preserve">  The advice is free. In contact with them, you will get clarity about what your insurance covers – if on the journey you need treatment, cannot return home as planned or otherwise as a result of your healthcare before you left.</w:t>
      </w:r>
    </w:p>
    <w:p w14:paraId="3B3EC0E0" w14:textId="77777777" w:rsidR="008B7712" w:rsidRDefault="008B7712">
      <w:pPr>
        <w:pStyle w:val="BodyText"/>
        <w:spacing w:before="11"/>
        <w:ind w:left="0"/>
        <w:rPr>
          <w:sz w:val="21"/>
        </w:rPr>
      </w:pPr>
    </w:p>
    <w:p w14:paraId="717A267E" w14:textId="77777777" w:rsidR="008B7712" w:rsidRDefault="004A33EF">
      <w:pPr>
        <w:pStyle w:val="BodyText"/>
      </w:pPr>
      <w:r>
        <w:rPr>
          <w:lang w:val="en"/>
        </w:rPr>
        <w:t xml:space="preserve">Reference is  also made to the exemptions in section 11.1 of the terms and conditions  , which supplementary refers to what  is not covered under </w:t>
      </w:r>
      <w:r>
        <w:rPr>
          <w:spacing w:val="-2"/>
          <w:lang w:val="en"/>
        </w:rPr>
        <w:t>the travel insurance policy.</w:t>
      </w:r>
    </w:p>
    <w:p w14:paraId="762396CC" w14:textId="77777777" w:rsidR="008B7712" w:rsidRDefault="008B7712">
      <w:pPr>
        <w:sectPr w:rsidR="008B7712">
          <w:footerReference w:type="default" r:id="rId8"/>
          <w:type w:val="continuous"/>
          <w:pgSz w:w="11910" w:h="16840"/>
          <w:pgMar w:top="1500" w:right="620" w:bottom="1500" w:left="720" w:header="0" w:footer="1309" w:gutter="0"/>
          <w:pgNumType w:start="1"/>
          <w:cols w:space="720"/>
        </w:sectPr>
      </w:pPr>
    </w:p>
    <w:p w14:paraId="4E5D0705" w14:textId="77777777" w:rsidR="008B7712" w:rsidRDefault="004A33EF">
      <w:pPr>
        <w:pStyle w:val="BodyText"/>
        <w:spacing w:before="39"/>
        <w:ind w:right="256"/>
      </w:pPr>
      <w:r>
        <w:rPr>
          <w:lang w:val="en"/>
        </w:rPr>
        <w:lastRenderedPageBreak/>
        <w:t>The insurance replaces some necessary and documented additional expenses that arise from acute unexpected physical illness, acute deterioration of chronic illness or accident damage that occurs on the journey.  The expenses that are replaced and the limitations that apply in the insurance are set out in sections 11.1 and 12.1 of the condition. The following highlights some exceptions and limitations.</w:t>
      </w:r>
    </w:p>
    <w:p w14:paraId="61E32ED8" w14:textId="77777777" w:rsidR="008B7712" w:rsidRDefault="008B7712">
      <w:pPr>
        <w:pStyle w:val="BodyText"/>
        <w:spacing w:before="1"/>
        <w:ind w:left="0"/>
      </w:pPr>
    </w:p>
    <w:p w14:paraId="6389011D" w14:textId="77777777" w:rsidR="008B7712" w:rsidRDefault="004A33EF">
      <w:pPr>
        <w:pStyle w:val="BodyText"/>
        <w:spacing w:before="1"/>
        <w:ind w:right="456"/>
      </w:pPr>
      <w:r>
        <w:rPr>
          <w:lang w:val="en"/>
        </w:rPr>
        <w:t xml:space="preserve">    The insurance does not entitle  you to compensation for expenses  resulting from  illness or ifthere is already a need for treatment and complications/deterioration may arise with a high degree of probability. The same applies to expenses arising from illness known before departure.</w:t>
      </w:r>
    </w:p>
    <w:p w14:paraId="19FC9DEA" w14:textId="77777777" w:rsidR="008B7712" w:rsidRDefault="008B7712">
      <w:pPr>
        <w:pStyle w:val="BodyText"/>
        <w:spacing w:before="10"/>
        <w:ind w:left="0"/>
        <w:rPr>
          <w:sz w:val="21"/>
        </w:rPr>
      </w:pPr>
    </w:p>
    <w:p w14:paraId="0B42CE76" w14:textId="77777777" w:rsidR="008B7712" w:rsidRDefault="004A33EF">
      <w:pPr>
        <w:pStyle w:val="BodyText"/>
        <w:ind w:right="563"/>
        <w:jc w:val="both"/>
      </w:pPr>
      <w:r>
        <w:rPr>
          <w:lang w:val="en"/>
        </w:rPr>
        <w:t>When travelling to EØS countries,  a certificate from the Norwegian National Insurance Scheme must be brought in order to obtain the right to reimbursement of expenses for  medical treatment pursuant to the legislation of  the country of  residence.  The necessary documentation (European Health Insurance Card) is issued by Helfo before departure.</w:t>
      </w:r>
    </w:p>
    <w:p w14:paraId="1CF73E0A" w14:textId="77777777" w:rsidR="008B7712" w:rsidRDefault="008B7712">
      <w:pPr>
        <w:pStyle w:val="BodyText"/>
        <w:spacing w:before="2"/>
        <w:ind w:left="0"/>
      </w:pPr>
    </w:p>
    <w:p w14:paraId="5413CFD0" w14:textId="77777777" w:rsidR="008B7712" w:rsidRDefault="004A33EF">
      <w:pPr>
        <w:pStyle w:val="BodyText"/>
        <w:jc w:val="both"/>
      </w:pPr>
      <w:r>
        <w:rPr>
          <w:lang w:val="en"/>
        </w:rPr>
        <w:t>Important limitations and</w:t>
      </w:r>
      <w:r>
        <w:rPr>
          <w:spacing w:val="-2"/>
          <w:lang w:val="en"/>
        </w:rPr>
        <w:t xml:space="preserve"> exceptions</w:t>
      </w:r>
    </w:p>
    <w:p w14:paraId="171831A9" w14:textId="77777777" w:rsidR="008B7712" w:rsidRDefault="004A33EF">
      <w:pPr>
        <w:pStyle w:val="BodyText"/>
        <w:jc w:val="both"/>
      </w:pPr>
      <w:r>
        <w:rPr>
          <w:lang w:val="en"/>
        </w:rPr>
        <w:t xml:space="preserve">The insurance  does not apply when the secured </w:t>
      </w:r>
      <w:r>
        <w:rPr>
          <w:spacing w:val="-4"/>
          <w:lang w:val="en"/>
        </w:rPr>
        <w:t xml:space="preserve"> stays:</w:t>
      </w:r>
    </w:p>
    <w:p w14:paraId="1635E4BB" w14:textId="77777777" w:rsidR="008B7712" w:rsidRDefault="004A33EF">
      <w:pPr>
        <w:pStyle w:val="ListParagraph"/>
        <w:numPr>
          <w:ilvl w:val="0"/>
          <w:numId w:val="2"/>
        </w:numPr>
        <w:tabs>
          <w:tab w:val="left" w:pos="852"/>
          <w:tab w:val="left" w:pos="853"/>
        </w:tabs>
        <w:spacing w:before="1" w:line="279" w:lineRule="exact"/>
        <w:ind w:hanging="361"/>
      </w:pPr>
      <w:r>
        <w:rPr>
          <w:lang w:val="en"/>
        </w:rPr>
        <w:t>In permanent</w:t>
      </w:r>
      <w:r>
        <w:rPr>
          <w:spacing w:val="-2"/>
          <w:lang w:val="en"/>
        </w:rPr>
        <w:t xml:space="preserve"> residence</w:t>
      </w:r>
    </w:p>
    <w:p w14:paraId="2C94A696" w14:textId="77777777" w:rsidR="008B7712" w:rsidRDefault="004A33EF">
      <w:pPr>
        <w:pStyle w:val="ListParagraph"/>
        <w:numPr>
          <w:ilvl w:val="0"/>
          <w:numId w:val="2"/>
        </w:numPr>
        <w:tabs>
          <w:tab w:val="left" w:pos="852"/>
          <w:tab w:val="left" w:pos="853"/>
        </w:tabs>
        <w:spacing w:line="279" w:lineRule="exact"/>
        <w:ind w:hanging="361"/>
      </w:pPr>
      <w:r>
        <w:rPr>
          <w:lang w:val="en"/>
        </w:rPr>
        <w:t>In commuter</w:t>
      </w:r>
      <w:r>
        <w:rPr>
          <w:spacing w:val="-2"/>
          <w:lang w:val="en"/>
        </w:rPr>
        <w:t>/student accommodation</w:t>
      </w:r>
    </w:p>
    <w:p w14:paraId="5DC79B5D" w14:textId="77777777" w:rsidR="008B7712" w:rsidRDefault="004A33EF">
      <w:pPr>
        <w:pStyle w:val="ListParagraph"/>
        <w:numPr>
          <w:ilvl w:val="0"/>
          <w:numId w:val="2"/>
        </w:numPr>
        <w:tabs>
          <w:tab w:val="left" w:pos="852"/>
          <w:tab w:val="left" w:pos="853"/>
        </w:tabs>
        <w:ind w:hanging="361"/>
      </w:pPr>
      <w:r>
        <w:rPr>
          <w:lang w:val="en"/>
        </w:rPr>
        <w:t xml:space="preserve">On </w:t>
      </w:r>
      <w:r>
        <w:rPr>
          <w:spacing w:val="-2"/>
          <w:lang w:val="en"/>
        </w:rPr>
        <w:t>campus</w:t>
      </w:r>
    </w:p>
    <w:p w14:paraId="4DA01494" w14:textId="77777777" w:rsidR="008B7712" w:rsidRDefault="004A33EF">
      <w:pPr>
        <w:pStyle w:val="ListParagraph"/>
        <w:numPr>
          <w:ilvl w:val="0"/>
          <w:numId w:val="2"/>
        </w:numPr>
        <w:tabs>
          <w:tab w:val="left" w:pos="852"/>
          <w:tab w:val="left" w:pos="853"/>
        </w:tabs>
        <w:spacing w:before="1"/>
        <w:ind w:hanging="361"/>
      </w:pPr>
      <w:r>
        <w:rPr>
          <w:lang w:val="en"/>
        </w:rPr>
        <w:t>At a permanent place of work  during working hours/in work where the secured performs their daily</w:t>
      </w:r>
      <w:r>
        <w:rPr>
          <w:spacing w:val="-2"/>
          <w:lang w:val="en"/>
        </w:rPr>
        <w:t xml:space="preserve"> work*</w:t>
      </w:r>
    </w:p>
    <w:p w14:paraId="11424AC9" w14:textId="77777777" w:rsidR="008B7712" w:rsidRDefault="004A33EF">
      <w:pPr>
        <w:pStyle w:val="ListParagraph"/>
        <w:numPr>
          <w:ilvl w:val="0"/>
          <w:numId w:val="2"/>
        </w:numPr>
        <w:tabs>
          <w:tab w:val="left" w:pos="852"/>
          <w:tab w:val="left" w:pos="853"/>
        </w:tabs>
        <w:ind w:hanging="361"/>
      </w:pPr>
      <w:r>
        <w:rPr>
          <w:lang w:val="en"/>
        </w:rPr>
        <w:t>At the place of teaching during</w:t>
      </w:r>
      <w:r>
        <w:rPr>
          <w:spacing w:val="-2"/>
          <w:lang w:val="en"/>
        </w:rPr>
        <w:t xml:space="preserve"> the teaching time</w:t>
      </w:r>
    </w:p>
    <w:p w14:paraId="373BAC67" w14:textId="77777777" w:rsidR="008B7712" w:rsidRDefault="004A33EF">
      <w:pPr>
        <w:pStyle w:val="ListParagraph"/>
        <w:numPr>
          <w:ilvl w:val="0"/>
          <w:numId w:val="2"/>
        </w:numPr>
        <w:tabs>
          <w:tab w:val="left" w:pos="852"/>
          <w:tab w:val="left" w:pos="853"/>
        </w:tabs>
        <w:spacing w:before="1" w:line="279" w:lineRule="exact"/>
        <w:ind w:hanging="361"/>
      </w:pPr>
      <w:r>
        <w:rPr>
          <w:lang w:val="en"/>
        </w:rPr>
        <w:t>On a school-time scheme or in</w:t>
      </w:r>
      <w:r>
        <w:rPr>
          <w:spacing w:val="-2"/>
          <w:lang w:val="en"/>
        </w:rPr>
        <w:t xml:space="preserve"> kindergarten</w:t>
      </w:r>
    </w:p>
    <w:p w14:paraId="0751CBC8" w14:textId="77777777" w:rsidR="008B7712" w:rsidRDefault="004A33EF">
      <w:pPr>
        <w:pStyle w:val="ListParagraph"/>
        <w:numPr>
          <w:ilvl w:val="0"/>
          <w:numId w:val="2"/>
        </w:numPr>
        <w:tabs>
          <w:tab w:val="left" w:pos="852"/>
          <w:tab w:val="left" w:pos="853"/>
        </w:tabs>
        <w:spacing w:line="279" w:lineRule="exact"/>
        <w:ind w:hanging="361"/>
      </w:pPr>
      <w:r>
        <w:rPr>
          <w:lang w:val="en"/>
        </w:rPr>
        <w:t>On expeditions</w:t>
      </w:r>
      <w:r>
        <w:rPr>
          <w:spacing w:val="-5"/>
          <w:lang w:val="en"/>
        </w:rPr>
        <w:t xml:space="preserve"> , etc.</w:t>
      </w:r>
    </w:p>
    <w:p w14:paraId="68035B65" w14:textId="77777777" w:rsidR="008B7712" w:rsidRDefault="004A33EF">
      <w:pPr>
        <w:pStyle w:val="ListParagraph"/>
        <w:numPr>
          <w:ilvl w:val="0"/>
          <w:numId w:val="2"/>
        </w:numPr>
        <w:tabs>
          <w:tab w:val="left" w:pos="852"/>
          <w:tab w:val="left" w:pos="853"/>
        </w:tabs>
        <w:ind w:right="1789"/>
      </w:pPr>
      <w:r>
        <w:rPr>
          <w:lang w:val="en"/>
        </w:rPr>
        <w:t>On trips to countries/areas with an elevated  risk of  war, terror and political unrest.  Rf.  Norwegian Ministry of Foreign Affairs Travel Advisory</w:t>
      </w:r>
    </w:p>
    <w:p w14:paraId="63D6242E" w14:textId="77777777" w:rsidR="008B7712" w:rsidRDefault="004A33EF">
      <w:pPr>
        <w:pStyle w:val="ListParagraph"/>
        <w:numPr>
          <w:ilvl w:val="0"/>
          <w:numId w:val="2"/>
        </w:numPr>
        <w:tabs>
          <w:tab w:val="left" w:pos="852"/>
          <w:tab w:val="left" w:pos="853"/>
        </w:tabs>
        <w:spacing w:before="1"/>
        <w:ind w:hanging="361"/>
      </w:pPr>
      <w:r>
        <w:rPr>
          <w:lang w:val="en"/>
        </w:rPr>
        <w:t>When travelling to a country/region where  travel advice has  been issued from the  Norwegian</w:t>
      </w:r>
      <w:r>
        <w:rPr>
          <w:spacing w:val="-2"/>
          <w:lang w:val="en"/>
        </w:rPr>
        <w:t xml:space="preserve"> Ministry of Foreign Affairs</w:t>
      </w:r>
    </w:p>
    <w:p w14:paraId="2936E788" w14:textId="77777777" w:rsidR="008B7712" w:rsidRDefault="008B7712">
      <w:pPr>
        <w:pStyle w:val="BodyText"/>
        <w:spacing w:before="3"/>
        <w:ind w:left="0"/>
      </w:pPr>
    </w:p>
    <w:p w14:paraId="3A5D18AF" w14:textId="77777777" w:rsidR="008B7712" w:rsidRDefault="004A33EF">
      <w:pPr>
        <w:pStyle w:val="BodyText"/>
        <w:spacing w:line="237" w:lineRule="auto"/>
        <w:ind w:right="256"/>
      </w:pPr>
      <w:r>
        <w:rPr>
          <w:lang w:val="en"/>
        </w:rPr>
        <w:t>*As a permanent place of work, it is considered  the  place where you perform/have your daily work.  For example,  the permanent place of work for a professional driver will be bus, cargo/van, taxi, etc.</w:t>
      </w:r>
    </w:p>
    <w:p w14:paraId="2088C7F8" w14:textId="77777777" w:rsidR="008B7712" w:rsidRDefault="008B7712">
      <w:pPr>
        <w:pStyle w:val="BodyText"/>
        <w:spacing w:before="2"/>
        <w:ind w:left="0"/>
      </w:pPr>
    </w:p>
    <w:p w14:paraId="3A6C3921" w14:textId="77777777" w:rsidR="008B7712" w:rsidRDefault="004A33EF">
      <w:pPr>
        <w:pStyle w:val="BodyText"/>
        <w:jc w:val="both"/>
      </w:pPr>
      <w:r>
        <w:rPr>
          <w:lang w:val="en"/>
        </w:rPr>
        <w:t>The insurance  does not include damage  resulting</w:t>
      </w:r>
      <w:r>
        <w:rPr>
          <w:spacing w:val="-5"/>
          <w:lang w:val="en"/>
        </w:rPr>
        <w:t xml:space="preserve"> from:</w:t>
      </w:r>
    </w:p>
    <w:p w14:paraId="64D87E21" w14:textId="77777777" w:rsidR="008B7712" w:rsidRDefault="004A33EF">
      <w:pPr>
        <w:pStyle w:val="ListParagraph"/>
        <w:numPr>
          <w:ilvl w:val="0"/>
          <w:numId w:val="2"/>
        </w:numPr>
        <w:tabs>
          <w:tab w:val="left" w:pos="852"/>
          <w:tab w:val="left" w:pos="853"/>
        </w:tabs>
        <w:ind w:hanging="361"/>
      </w:pPr>
      <w:r>
        <w:rPr>
          <w:lang w:val="en"/>
        </w:rPr>
        <w:t>Participation in fights or</w:t>
      </w:r>
      <w:r>
        <w:rPr>
          <w:spacing w:val="-2"/>
          <w:lang w:val="en"/>
        </w:rPr>
        <w:t xml:space="preserve"> crimes</w:t>
      </w:r>
    </w:p>
    <w:p w14:paraId="606B9B57" w14:textId="77777777" w:rsidR="008B7712" w:rsidRDefault="004A33EF">
      <w:pPr>
        <w:pStyle w:val="ListParagraph"/>
        <w:numPr>
          <w:ilvl w:val="0"/>
          <w:numId w:val="2"/>
        </w:numPr>
        <w:tabs>
          <w:tab w:val="left" w:pos="852"/>
          <w:tab w:val="left" w:pos="853"/>
        </w:tabs>
        <w:spacing w:before="1"/>
        <w:ind w:hanging="361"/>
      </w:pPr>
      <w:r>
        <w:rPr>
          <w:lang w:val="en"/>
        </w:rPr>
        <w:t>Misuse of medications, ingestion of drugs and harmful</w:t>
      </w:r>
      <w:r>
        <w:rPr>
          <w:spacing w:val="-2"/>
          <w:lang w:val="en"/>
        </w:rPr>
        <w:t xml:space="preserve"> substances</w:t>
      </w:r>
    </w:p>
    <w:p w14:paraId="1B335344" w14:textId="77777777" w:rsidR="008B7712" w:rsidRDefault="004A33EF">
      <w:pPr>
        <w:pStyle w:val="ListParagraph"/>
        <w:numPr>
          <w:ilvl w:val="0"/>
          <w:numId w:val="2"/>
        </w:numPr>
        <w:tabs>
          <w:tab w:val="left" w:pos="852"/>
          <w:tab w:val="left" w:pos="853"/>
        </w:tabs>
        <w:spacing w:line="279" w:lineRule="exact"/>
        <w:ind w:hanging="361"/>
      </w:pPr>
      <w:r>
        <w:rPr>
          <w:spacing w:val="-2"/>
          <w:lang w:val="en"/>
        </w:rPr>
        <w:t>Suicide</w:t>
      </w:r>
    </w:p>
    <w:p w14:paraId="1B0E1872" w14:textId="77777777" w:rsidR="008B7712" w:rsidRDefault="004A33EF">
      <w:pPr>
        <w:pStyle w:val="ListParagraph"/>
        <w:numPr>
          <w:ilvl w:val="0"/>
          <w:numId w:val="2"/>
        </w:numPr>
        <w:tabs>
          <w:tab w:val="left" w:pos="852"/>
          <w:tab w:val="left" w:pos="853"/>
        </w:tabs>
        <w:spacing w:line="279" w:lineRule="exact"/>
        <w:ind w:hanging="361"/>
      </w:pPr>
      <w:r>
        <w:rPr>
          <w:lang w:val="en"/>
        </w:rPr>
        <w:t>Already known chronic</w:t>
      </w:r>
      <w:r>
        <w:rPr>
          <w:spacing w:val="-2"/>
          <w:lang w:val="en"/>
        </w:rPr>
        <w:t xml:space="preserve"> disease/disorder</w:t>
      </w:r>
    </w:p>
    <w:p w14:paraId="06CC7E7F" w14:textId="77777777" w:rsidR="008B7712" w:rsidRDefault="004A33EF">
      <w:pPr>
        <w:pStyle w:val="ListParagraph"/>
        <w:numPr>
          <w:ilvl w:val="0"/>
          <w:numId w:val="2"/>
        </w:numPr>
        <w:tabs>
          <w:tab w:val="left" w:pos="852"/>
          <w:tab w:val="left" w:pos="853"/>
        </w:tabs>
        <w:spacing w:before="1"/>
        <w:ind w:hanging="361"/>
      </w:pPr>
      <w:r>
        <w:rPr>
          <w:lang w:val="en"/>
        </w:rPr>
        <w:t>Expected treatment needs/operation or treatment before</w:t>
      </w:r>
      <w:r>
        <w:rPr>
          <w:spacing w:val="-2"/>
          <w:lang w:val="en"/>
        </w:rPr>
        <w:t xml:space="preserve"> departure</w:t>
      </w:r>
    </w:p>
    <w:p w14:paraId="6E1D80A3" w14:textId="77777777" w:rsidR="008B7712" w:rsidRDefault="004A33EF">
      <w:pPr>
        <w:pStyle w:val="ListParagraph"/>
        <w:numPr>
          <w:ilvl w:val="0"/>
          <w:numId w:val="2"/>
        </w:numPr>
        <w:tabs>
          <w:tab w:val="left" w:pos="852"/>
          <w:tab w:val="left" w:pos="853"/>
        </w:tabs>
        <w:spacing w:before="1"/>
        <w:ind w:hanging="361"/>
      </w:pPr>
      <w:r>
        <w:rPr>
          <w:lang w:val="en"/>
        </w:rPr>
        <w:t xml:space="preserve">   Expected worsening of illness/disorder known before</w:t>
      </w:r>
      <w:r>
        <w:rPr>
          <w:spacing w:val="-2"/>
          <w:lang w:val="en"/>
        </w:rPr>
        <w:t xml:space="preserve"> departure</w:t>
      </w:r>
    </w:p>
    <w:p w14:paraId="7CDCD763" w14:textId="77777777" w:rsidR="008B7712" w:rsidRDefault="008B7712">
      <w:pPr>
        <w:pStyle w:val="BodyText"/>
        <w:ind w:left="0"/>
        <w:rPr>
          <w:sz w:val="28"/>
        </w:rPr>
      </w:pPr>
    </w:p>
    <w:p w14:paraId="3F3FD9A4" w14:textId="77777777" w:rsidR="008B7712" w:rsidRDefault="004A33EF">
      <w:pPr>
        <w:pStyle w:val="BodyText"/>
        <w:spacing w:before="196"/>
        <w:ind w:right="456"/>
      </w:pPr>
      <w:r>
        <w:rPr>
          <w:lang w:val="en"/>
        </w:rPr>
        <w:t>In case of delay of baggage, theft of luggage and other damage inquiries – contact Fremtind Forsikring Phone: + 47 915 04 818</w:t>
      </w:r>
    </w:p>
    <w:p w14:paraId="0F8D38FB" w14:textId="77777777" w:rsidR="008B7712" w:rsidRPr="00327E88" w:rsidRDefault="004A33EF">
      <w:pPr>
        <w:pStyle w:val="BodyText"/>
        <w:spacing w:line="267" w:lineRule="exact"/>
        <w:jc w:val="both"/>
        <w:rPr>
          <w:lang w:val="nb-NO"/>
        </w:rPr>
      </w:pPr>
      <w:proofErr w:type="spellStart"/>
      <w:r w:rsidRPr="00327E88">
        <w:rPr>
          <w:lang w:val="nb-NO"/>
        </w:rPr>
        <w:t>Address</w:t>
      </w:r>
      <w:proofErr w:type="spellEnd"/>
      <w:r w:rsidRPr="00327E88">
        <w:rPr>
          <w:lang w:val="nb-NO"/>
        </w:rPr>
        <w:t xml:space="preserve">: </w:t>
      </w:r>
      <w:proofErr w:type="spellStart"/>
      <w:r w:rsidRPr="00327E88">
        <w:rPr>
          <w:lang w:val="nb-NO"/>
        </w:rPr>
        <w:t>Fremtind</w:t>
      </w:r>
      <w:proofErr w:type="spellEnd"/>
      <w:r w:rsidRPr="00327E88">
        <w:rPr>
          <w:lang w:val="nb-NO"/>
        </w:rPr>
        <w:t xml:space="preserve"> Forsikring AS, Boks 778 Sentrum, 0106</w:t>
      </w:r>
      <w:r w:rsidRPr="00327E88">
        <w:rPr>
          <w:spacing w:val="-4"/>
          <w:lang w:val="nb-NO"/>
        </w:rPr>
        <w:t xml:space="preserve"> Oslo</w:t>
      </w:r>
    </w:p>
    <w:p w14:paraId="37CFA4D7" w14:textId="77777777" w:rsidR="008B7712" w:rsidRPr="00327E88" w:rsidRDefault="008B7712">
      <w:pPr>
        <w:pStyle w:val="BodyText"/>
        <w:ind w:left="0"/>
        <w:rPr>
          <w:lang w:val="nb-NO"/>
        </w:rPr>
      </w:pPr>
    </w:p>
    <w:p w14:paraId="33F393AA" w14:textId="77777777" w:rsidR="008B7712" w:rsidRPr="00327E88" w:rsidRDefault="008B7712">
      <w:pPr>
        <w:pStyle w:val="BodyText"/>
        <w:ind w:left="0"/>
        <w:rPr>
          <w:lang w:val="nb-NO"/>
        </w:rPr>
      </w:pPr>
    </w:p>
    <w:p w14:paraId="2274A625" w14:textId="77777777" w:rsidR="008B7712" w:rsidRDefault="004A33EF">
      <w:pPr>
        <w:pStyle w:val="BodyText"/>
      </w:pPr>
      <w:r>
        <w:rPr>
          <w:spacing w:val="-2"/>
          <w:lang w:val="en"/>
        </w:rPr>
        <w:t>Important!</w:t>
      </w:r>
    </w:p>
    <w:p w14:paraId="7016948F" w14:textId="77777777" w:rsidR="008B7712" w:rsidRDefault="004A33EF">
      <w:pPr>
        <w:pStyle w:val="BodyText"/>
        <w:spacing w:before="1"/>
      </w:pPr>
      <w:r>
        <w:rPr>
          <w:lang w:val="en"/>
        </w:rPr>
        <w:t>Alarmsentral: SOS International, phone +47 22 96 50</w:t>
      </w:r>
      <w:r>
        <w:rPr>
          <w:spacing w:val="-5"/>
          <w:lang w:val="en"/>
        </w:rPr>
        <w:t xml:space="preserve"> 45.</w:t>
      </w:r>
    </w:p>
    <w:p w14:paraId="2D4E17DA" w14:textId="77777777" w:rsidR="008B7712" w:rsidRDefault="004A33EF">
      <w:pPr>
        <w:pStyle w:val="BodyText"/>
      </w:pPr>
      <w:r>
        <w:rPr>
          <w:lang w:val="en"/>
        </w:rPr>
        <w:t>All hospital admissions and any changes to return journeys due to illness must beclarified with the company and/or SOS International  in advance.  This also  applies to cases where the cost of  hospital stays/treatment is assumed to exceed NOK 5 000.</w:t>
      </w:r>
    </w:p>
    <w:p w14:paraId="27F5E13C" w14:textId="77777777" w:rsidR="008B7712" w:rsidRDefault="008B7712">
      <w:pPr>
        <w:sectPr w:rsidR="008B7712">
          <w:pgSz w:w="11910" w:h="16840"/>
          <w:pgMar w:top="1480" w:right="620" w:bottom="1500" w:left="720" w:header="0" w:footer="1309" w:gutter="0"/>
          <w:cols w:space="720"/>
        </w:sectPr>
      </w:pPr>
    </w:p>
    <w:p w14:paraId="1ECE88E0" w14:textId="77777777" w:rsidR="008B7712" w:rsidRDefault="004A33EF">
      <w:pPr>
        <w:pStyle w:val="BodyText"/>
        <w:spacing w:before="39"/>
      </w:pPr>
      <w:r>
        <w:rPr>
          <w:spacing w:val="-2"/>
          <w:lang w:val="en"/>
        </w:rPr>
        <w:lastRenderedPageBreak/>
        <w:t>Særbestemmelser</w:t>
      </w:r>
    </w:p>
    <w:p w14:paraId="7465B730" w14:textId="77777777" w:rsidR="008B7712" w:rsidRDefault="004A33EF">
      <w:pPr>
        <w:pStyle w:val="ListParagraph"/>
        <w:numPr>
          <w:ilvl w:val="0"/>
          <w:numId w:val="1"/>
        </w:numPr>
        <w:tabs>
          <w:tab w:val="left" w:pos="492"/>
          <w:tab w:val="left" w:pos="493"/>
        </w:tabs>
        <w:spacing w:before="61"/>
      </w:pPr>
      <w:r>
        <w:rPr>
          <w:lang w:val="en"/>
        </w:rPr>
        <w:t>The insurance includes personal customers in DNB Bank ASA associated with the current</w:t>
      </w:r>
      <w:r>
        <w:rPr>
          <w:spacing w:val="-4"/>
          <w:lang w:val="en"/>
        </w:rPr>
        <w:t xml:space="preserve"> card</w:t>
      </w:r>
    </w:p>
    <w:p w14:paraId="7D31A704" w14:textId="77777777" w:rsidR="008B7712" w:rsidRDefault="004A33EF">
      <w:pPr>
        <w:pStyle w:val="ListParagraph"/>
        <w:numPr>
          <w:ilvl w:val="0"/>
          <w:numId w:val="1"/>
        </w:numPr>
        <w:tabs>
          <w:tab w:val="left" w:pos="492"/>
          <w:tab w:val="left" w:pos="493"/>
        </w:tabs>
        <w:ind w:right="396"/>
      </w:pPr>
      <w:r>
        <w:rPr>
          <w:lang w:val="en"/>
        </w:rPr>
        <w:t xml:space="preserve">The secured shall be a member of the Norwegian National Insurance Scheme.  In addition, the secured shall have a permanent place of residence in Norway, registered in </w:t>
      </w:r>
      <w:r>
        <w:rPr>
          <w:spacing w:val="-2"/>
          <w:lang w:val="en"/>
        </w:rPr>
        <w:t>the National Population Register</w:t>
      </w:r>
    </w:p>
    <w:p w14:paraId="74E14AF2" w14:textId="77777777" w:rsidR="008B7712" w:rsidRDefault="004A33EF">
      <w:pPr>
        <w:pStyle w:val="ListParagraph"/>
        <w:numPr>
          <w:ilvl w:val="0"/>
          <w:numId w:val="1"/>
        </w:numPr>
        <w:tabs>
          <w:tab w:val="left" w:pos="492"/>
          <w:tab w:val="left" w:pos="493"/>
        </w:tabs>
        <w:spacing w:before="1"/>
        <w:ind w:right="381"/>
      </w:pPr>
      <w:r>
        <w:rPr>
          <w:lang w:val="en"/>
        </w:rPr>
        <w:t>In addition to the member, the insurance also includes permanent household members or up to three fellow travellers within the agreed insurance sums. Permanent household members take precedence over other fellow travellers. Other fellow travellers   are  only covered if the number of household members is 3 or fewer, up to a maximum of 4 people are insured incl. cardholder.     Permanent household members mean  spouse, cohabitant and children up to the age of 20 with a common address in the National Population Register. Fellow travellers mean the person(s) listed on the same travel document as the Member. The journey shall be made together with the member, and at the same time. If there are more than three fellow travellers, the forcitrition gene applies tothe three youngest. In case of cancellation, the insurance will apply to the cardholder and only fellow travellers. On a single trip, insurance never applies to more than three fellow travellers</w:t>
      </w:r>
    </w:p>
    <w:p w14:paraId="020527EB" w14:textId="77777777" w:rsidR="008B7712" w:rsidRDefault="004A33EF">
      <w:pPr>
        <w:pStyle w:val="ListParagraph"/>
        <w:numPr>
          <w:ilvl w:val="0"/>
          <w:numId w:val="1"/>
        </w:numPr>
        <w:tabs>
          <w:tab w:val="left" w:pos="492"/>
          <w:tab w:val="left" w:pos="493"/>
        </w:tabs>
        <w:ind w:right="341"/>
      </w:pPr>
      <w:r>
        <w:rPr>
          <w:lang w:val="en"/>
        </w:rPr>
        <w:t>In case of cancellation, the insurance will apply to the  cardholder and only fellow travellers.  On a  single trip, insurance never applies to more than three fellow travellers</w:t>
      </w:r>
    </w:p>
    <w:p w14:paraId="1AD91B8B" w14:textId="77777777" w:rsidR="008B7712" w:rsidRDefault="004A33EF">
      <w:pPr>
        <w:pStyle w:val="ListParagraph"/>
        <w:numPr>
          <w:ilvl w:val="0"/>
          <w:numId w:val="1"/>
        </w:numPr>
        <w:tabs>
          <w:tab w:val="left" w:pos="492"/>
          <w:tab w:val="left" w:pos="493"/>
        </w:tabs>
        <w:ind w:right="675"/>
      </w:pPr>
      <w:r>
        <w:rPr>
          <w:lang w:val="en"/>
        </w:rPr>
        <w:t xml:space="preserve">Fellow travellers are only covered by travel insurance if the  cardholder has paid their travel with the card in question </w:t>
      </w:r>
    </w:p>
    <w:p w14:paraId="16026DAE" w14:textId="77777777" w:rsidR="008B7712" w:rsidRDefault="004A33EF">
      <w:pPr>
        <w:pStyle w:val="ListParagraph"/>
        <w:numPr>
          <w:ilvl w:val="0"/>
          <w:numId w:val="1"/>
        </w:numPr>
        <w:tabs>
          <w:tab w:val="left" w:pos="492"/>
          <w:tab w:val="left" w:pos="493"/>
        </w:tabs>
        <w:ind w:right="427"/>
      </w:pPr>
      <w:r>
        <w:rPr>
          <w:lang w:val="en"/>
        </w:rPr>
        <w:t>Foreign Ministry personnel who are members of the Norwegian National Insurance Scheme, but stationed  abroad , are covered under the insurance as if they were resident in Norway</w:t>
      </w:r>
    </w:p>
    <w:p w14:paraId="76366FF1" w14:textId="77777777" w:rsidR="008B7712" w:rsidRDefault="004A33EF">
      <w:pPr>
        <w:pStyle w:val="ListParagraph"/>
        <w:numPr>
          <w:ilvl w:val="0"/>
          <w:numId w:val="1"/>
        </w:numPr>
        <w:tabs>
          <w:tab w:val="left" w:pos="492"/>
          <w:tab w:val="left" w:pos="493"/>
        </w:tabs>
        <w:spacing w:line="279" w:lineRule="exact"/>
      </w:pPr>
      <w:r>
        <w:rPr>
          <w:lang w:val="en"/>
        </w:rPr>
        <w:t>The repatriation insurance in the event of illness/death applies  only to the country in which they are stationed and not to</w:t>
      </w:r>
      <w:r>
        <w:rPr>
          <w:spacing w:val="-2"/>
          <w:lang w:val="en"/>
        </w:rPr>
        <w:t xml:space="preserve"> Norway</w:t>
      </w:r>
    </w:p>
    <w:p w14:paraId="2171788C" w14:textId="77777777" w:rsidR="008B7712" w:rsidRDefault="008B7712">
      <w:pPr>
        <w:pStyle w:val="BodyText"/>
        <w:spacing w:before="1"/>
        <w:ind w:left="0"/>
      </w:pPr>
    </w:p>
    <w:p w14:paraId="192A606A" w14:textId="77777777" w:rsidR="008B7712" w:rsidRDefault="004A33EF">
      <w:pPr>
        <w:pStyle w:val="BodyText"/>
      </w:pPr>
      <w:r>
        <w:rPr>
          <w:lang w:val="en"/>
        </w:rPr>
        <w:t xml:space="preserve">Compensation rules when using </w:t>
      </w:r>
      <w:r>
        <w:rPr>
          <w:spacing w:val="-2"/>
          <w:lang w:val="en"/>
        </w:rPr>
        <w:t xml:space="preserve"> bonus points</w:t>
      </w:r>
    </w:p>
    <w:p w14:paraId="09C175EA" w14:textId="77777777" w:rsidR="008B7712" w:rsidRDefault="004A33EF">
      <w:pPr>
        <w:pStyle w:val="BodyText"/>
      </w:pPr>
      <w:r>
        <w:rPr>
          <w:lang w:val="en"/>
        </w:rPr>
        <w:t>If bonus points are used as payment for the trip,  these  will be reversed where possible.  If this  is not the case, compensation will be paid out corresponding to the value of the bonus points.</w:t>
      </w:r>
    </w:p>
    <w:p w14:paraId="5DD53659" w14:textId="77777777" w:rsidR="008B7712" w:rsidRDefault="008B7712">
      <w:pPr>
        <w:pStyle w:val="BodyText"/>
        <w:spacing w:before="1"/>
        <w:ind w:left="0"/>
      </w:pPr>
    </w:p>
    <w:p w14:paraId="5792D1D7" w14:textId="77777777" w:rsidR="008B7712" w:rsidRDefault="004A33EF">
      <w:pPr>
        <w:pStyle w:val="BodyText"/>
      </w:pPr>
      <w:r>
        <w:rPr>
          <w:lang w:val="en"/>
        </w:rPr>
        <w:t>Beneficiary and payment in the event of</w:t>
      </w:r>
      <w:r>
        <w:rPr>
          <w:spacing w:val="-2"/>
          <w:lang w:val="en"/>
        </w:rPr>
        <w:t xml:space="preserve"> death</w:t>
      </w:r>
    </w:p>
    <w:p w14:paraId="36891952" w14:textId="77777777" w:rsidR="008B7712" w:rsidRDefault="004A33EF">
      <w:pPr>
        <w:pStyle w:val="BodyText"/>
        <w:spacing w:before="1" w:line="477" w:lineRule="auto"/>
        <w:ind w:right="761"/>
      </w:pPr>
      <w:r>
        <w:rPr>
          <w:lang w:val="en"/>
        </w:rPr>
        <w:t>Beneficiary of cohabitant in the event of payment of compensation for death compensation has been agreed for members of DNB Bank ASA In the event of death compensation as a result of an accident, the cohabitant is equal to the spouse rf. section 12.5.1 of the travel conditions</w:t>
      </w:r>
    </w:p>
    <w:p w14:paraId="449D2E10" w14:textId="77777777" w:rsidR="008B7712" w:rsidRDefault="004A33EF">
      <w:pPr>
        <w:pStyle w:val="BodyText"/>
        <w:spacing w:before="3"/>
      </w:pPr>
      <w:r>
        <w:rPr>
          <w:lang w:val="en"/>
        </w:rPr>
        <w:t xml:space="preserve"> Cohabitant is meant the person with whom the  policyholder lives in a marital relationship and has the same permanent residential address in Norway</w:t>
      </w:r>
    </w:p>
    <w:p w14:paraId="5CFCFC65" w14:textId="77777777" w:rsidR="008B7712" w:rsidRDefault="008B7712">
      <w:pPr>
        <w:pStyle w:val="BodyText"/>
        <w:ind w:left="0"/>
      </w:pPr>
    </w:p>
    <w:p w14:paraId="706B8DB3" w14:textId="77777777" w:rsidR="008B7712" w:rsidRDefault="008B7712">
      <w:pPr>
        <w:pStyle w:val="BodyText"/>
        <w:ind w:left="0"/>
      </w:pPr>
    </w:p>
    <w:p w14:paraId="6927F227" w14:textId="77777777" w:rsidR="008B7712" w:rsidRDefault="008B7712">
      <w:pPr>
        <w:pStyle w:val="BodyText"/>
        <w:spacing w:before="9"/>
        <w:ind w:left="0"/>
        <w:rPr>
          <w:sz w:val="19"/>
        </w:rPr>
      </w:pPr>
    </w:p>
    <w:p w14:paraId="3C81B230" w14:textId="77777777" w:rsidR="008B7712" w:rsidRDefault="004A33EF">
      <w:pPr>
        <w:pStyle w:val="BodyText"/>
        <w:spacing w:before="1"/>
      </w:pPr>
      <w:r>
        <w:rPr>
          <w:spacing w:val="-2"/>
          <w:lang w:val="en"/>
        </w:rPr>
        <w:t>Safety regulations</w:t>
      </w:r>
    </w:p>
    <w:p w14:paraId="569DA41E" w14:textId="77777777" w:rsidR="008B7712" w:rsidRDefault="008B7712">
      <w:pPr>
        <w:pStyle w:val="BodyText"/>
        <w:spacing w:before="8"/>
        <w:ind w:left="0"/>
        <w:rPr>
          <w:sz w:val="19"/>
        </w:rPr>
      </w:pPr>
    </w:p>
    <w:p w14:paraId="78ADF414" w14:textId="77777777" w:rsidR="008B7712" w:rsidRDefault="004A33EF">
      <w:pPr>
        <w:pStyle w:val="BodyText"/>
      </w:pPr>
      <w:r>
        <w:rPr>
          <w:lang w:val="en"/>
        </w:rPr>
        <w:t>Safety regulations, cf. Sections 12 of the Regulations. Section  4-8 of the Insurance Contracts Act</w:t>
      </w:r>
    </w:p>
    <w:p w14:paraId="447993A8" w14:textId="77777777" w:rsidR="008B7712" w:rsidRDefault="004A33EF">
      <w:pPr>
        <w:pStyle w:val="BodyText"/>
        <w:spacing w:before="61"/>
      </w:pPr>
      <w:r>
        <w:rPr>
          <w:lang w:val="en"/>
        </w:rPr>
        <w:t>Safety regulations shall prevent  the risk of  or limit the extent of damage.  If secured neglected to comply with these, the right to compensation may be reduced or lapse</w:t>
      </w:r>
    </w:p>
    <w:p w14:paraId="07227F8F" w14:textId="77777777" w:rsidR="008B7712" w:rsidRDefault="008B7712">
      <w:pPr>
        <w:pStyle w:val="BodyText"/>
        <w:spacing w:before="10"/>
        <w:ind w:left="0"/>
        <w:rPr>
          <w:sz w:val="21"/>
        </w:rPr>
      </w:pPr>
    </w:p>
    <w:p w14:paraId="51843729" w14:textId="77777777" w:rsidR="008B7712" w:rsidRDefault="004A33EF">
      <w:pPr>
        <w:pStyle w:val="BodyText"/>
      </w:pPr>
      <w:r>
        <w:rPr>
          <w:spacing w:val="-2"/>
          <w:lang w:val="en"/>
        </w:rPr>
        <w:t>Supervision</w:t>
      </w:r>
    </w:p>
    <w:p w14:paraId="58451229" w14:textId="77777777" w:rsidR="008B7712" w:rsidRDefault="004A33EF">
      <w:pPr>
        <w:pStyle w:val="ListParagraph"/>
        <w:numPr>
          <w:ilvl w:val="0"/>
          <w:numId w:val="1"/>
        </w:numPr>
        <w:tabs>
          <w:tab w:val="left" w:pos="492"/>
          <w:tab w:val="left" w:pos="493"/>
        </w:tabs>
        <w:spacing w:before="1"/>
      </w:pPr>
      <w:r>
        <w:rPr>
          <w:lang w:val="en"/>
        </w:rPr>
        <w:t>Objects should be kept an eye on  and not</w:t>
      </w:r>
      <w:r>
        <w:rPr>
          <w:spacing w:val="-2"/>
          <w:lang w:val="en"/>
        </w:rPr>
        <w:t xml:space="preserve"> forgotten</w:t>
      </w:r>
    </w:p>
    <w:p w14:paraId="6CD688CE" w14:textId="77777777" w:rsidR="008B7712" w:rsidRDefault="004A33EF">
      <w:pPr>
        <w:pStyle w:val="BodyText"/>
        <w:spacing w:before="206"/>
      </w:pPr>
      <w:r>
        <w:rPr>
          <w:lang w:val="en"/>
        </w:rPr>
        <w:t>Collection of a fixed</w:t>
      </w:r>
      <w:r>
        <w:rPr>
          <w:spacing w:val="-2"/>
          <w:lang w:val="en"/>
        </w:rPr>
        <w:t xml:space="preserve"> itinerary</w:t>
      </w:r>
    </w:p>
    <w:p w14:paraId="7D4B45D6" w14:textId="77777777" w:rsidR="008B7712" w:rsidRDefault="004A33EF">
      <w:pPr>
        <w:pStyle w:val="ListParagraph"/>
        <w:numPr>
          <w:ilvl w:val="0"/>
          <w:numId w:val="1"/>
        </w:numPr>
        <w:tabs>
          <w:tab w:val="left" w:pos="492"/>
          <w:tab w:val="left" w:pos="493"/>
        </w:tabs>
        <w:spacing w:before="1"/>
      </w:pPr>
      <w:r>
        <w:rPr>
          <w:lang w:val="en"/>
        </w:rPr>
        <w:t>At  least 2 hours must be calculated until the   next transport stage to avoid  being late</w:t>
      </w:r>
      <w:r>
        <w:rPr>
          <w:spacing w:val="-4"/>
          <w:lang w:val="en"/>
        </w:rPr>
        <w:t xml:space="preserve"> </w:t>
      </w:r>
    </w:p>
    <w:p w14:paraId="4BC31E73" w14:textId="77777777" w:rsidR="008B7712" w:rsidRDefault="004A33EF">
      <w:pPr>
        <w:pStyle w:val="ListParagraph"/>
        <w:numPr>
          <w:ilvl w:val="0"/>
          <w:numId w:val="1"/>
        </w:numPr>
        <w:tabs>
          <w:tab w:val="left" w:pos="492"/>
          <w:tab w:val="left" w:pos="493"/>
        </w:tabs>
      </w:pPr>
      <w:r>
        <w:rPr>
          <w:lang w:val="en"/>
        </w:rPr>
        <w:lastRenderedPageBreak/>
        <w:t>When purchasing  tickets upon collection and delay, the secured shall first  contact the company for</w:t>
      </w:r>
      <w:r>
        <w:rPr>
          <w:spacing w:val="-2"/>
          <w:lang w:val="en"/>
        </w:rPr>
        <w:t xml:space="preserve"> approval</w:t>
      </w:r>
    </w:p>
    <w:p w14:paraId="1773F76C" w14:textId="77777777" w:rsidR="008B7712" w:rsidRDefault="008B7712">
      <w:pPr>
        <w:sectPr w:rsidR="008B7712">
          <w:pgSz w:w="11910" w:h="16840"/>
          <w:pgMar w:top="1480" w:right="620" w:bottom="1500" w:left="720" w:header="0" w:footer="1309" w:gutter="0"/>
          <w:cols w:space="720"/>
        </w:sectPr>
      </w:pPr>
    </w:p>
    <w:p w14:paraId="56E7B550" w14:textId="77777777" w:rsidR="008B7712" w:rsidRDefault="004A33EF">
      <w:pPr>
        <w:pStyle w:val="BodyText"/>
        <w:spacing w:before="39"/>
      </w:pPr>
      <w:r>
        <w:rPr>
          <w:lang w:val="en"/>
        </w:rPr>
        <w:lastRenderedPageBreak/>
        <w:t>Checked</w:t>
      </w:r>
      <w:r>
        <w:rPr>
          <w:spacing w:val="-2"/>
          <w:lang w:val="en"/>
        </w:rPr>
        <w:t xml:space="preserve"> baggage</w:t>
      </w:r>
    </w:p>
    <w:p w14:paraId="1223980E" w14:textId="77777777" w:rsidR="008B7712" w:rsidRDefault="004A33EF">
      <w:pPr>
        <w:pStyle w:val="BodyText"/>
        <w:spacing w:before="1"/>
      </w:pPr>
      <w:r>
        <w:rPr>
          <w:lang w:val="en"/>
        </w:rPr>
        <w:t>The following must not be sent in checked</w:t>
      </w:r>
      <w:r>
        <w:rPr>
          <w:spacing w:val="-2"/>
          <w:lang w:val="en"/>
        </w:rPr>
        <w:t xml:space="preserve"> baggage:</w:t>
      </w:r>
    </w:p>
    <w:p w14:paraId="7A8D0A54" w14:textId="77777777" w:rsidR="008B7712" w:rsidRDefault="004A33EF">
      <w:pPr>
        <w:pStyle w:val="ListParagraph"/>
        <w:numPr>
          <w:ilvl w:val="0"/>
          <w:numId w:val="1"/>
        </w:numPr>
        <w:tabs>
          <w:tab w:val="left" w:pos="492"/>
          <w:tab w:val="left" w:pos="493"/>
        </w:tabs>
        <w:ind w:right="297"/>
      </w:pPr>
      <w:r>
        <w:rPr>
          <w:lang w:val="en"/>
        </w:rPr>
        <w:t>Valuables  such as  money, jewellery, watches, electronic equipment with accessories such as computer, mobile phone and camera</w:t>
      </w:r>
    </w:p>
    <w:p w14:paraId="0FD23008" w14:textId="77777777" w:rsidR="008B7712" w:rsidRDefault="004A33EF">
      <w:pPr>
        <w:pStyle w:val="ListParagraph"/>
        <w:numPr>
          <w:ilvl w:val="0"/>
          <w:numId w:val="1"/>
        </w:numPr>
        <w:tabs>
          <w:tab w:val="left" w:pos="492"/>
          <w:tab w:val="left" w:pos="493"/>
        </w:tabs>
        <w:spacing w:before="1" w:line="279" w:lineRule="exact"/>
      </w:pPr>
      <w:r>
        <w:rPr>
          <w:lang w:val="en"/>
        </w:rPr>
        <w:t>Bottles, fragile items or depraving</w:t>
      </w:r>
      <w:r>
        <w:rPr>
          <w:spacing w:val="-4"/>
          <w:lang w:val="en"/>
        </w:rPr>
        <w:t xml:space="preserve"> goods</w:t>
      </w:r>
    </w:p>
    <w:p w14:paraId="0D894B99" w14:textId="77777777" w:rsidR="008B7712" w:rsidRDefault="004A33EF">
      <w:pPr>
        <w:pStyle w:val="ListParagraph"/>
        <w:numPr>
          <w:ilvl w:val="0"/>
          <w:numId w:val="1"/>
        </w:numPr>
        <w:tabs>
          <w:tab w:val="left" w:pos="492"/>
          <w:tab w:val="left" w:pos="493"/>
        </w:tabs>
        <w:spacing w:line="279" w:lineRule="exact"/>
      </w:pPr>
      <w:r>
        <w:rPr>
          <w:lang w:val="en"/>
        </w:rPr>
        <w:t>Prescription</w:t>
      </w:r>
      <w:r>
        <w:rPr>
          <w:spacing w:val="-2"/>
          <w:lang w:val="en"/>
        </w:rPr>
        <w:t xml:space="preserve"> medicine</w:t>
      </w:r>
    </w:p>
    <w:p w14:paraId="6725D1E5" w14:textId="77777777" w:rsidR="008B7712" w:rsidRDefault="004A33EF">
      <w:pPr>
        <w:pStyle w:val="ListParagraph"/>
        <w:numPr>
          <w:ilvl w:val="0"/>
          <w:numId w:val="1"/>
        </w:numPr>
        <w:tabs>
          <w:tab w:val="left" w:pos="492"/>
          <w:tab w:val="left" w:pos="493"/>
        </w:tabs>
        <w:spacing w:before="1"/>
      </w:pPr>
      <w:r>
        <w:rPr>
          <w:spacing w:val="-2"/>
          <w:lang w:val="en"/>
        </w:rPr>
        <w:t>Musical instruments</w:t>
      </w:r>
    </w:p>
    <w:p w14:paraId="30F22991" w14:textId="77777777" w:rsidR="008B7712" w:rsidRDefault="008B7712">
      <w:pPr>
        <w:pStyle w:val="BodyText"/>
        <w:ind w:left="0"/>
      </w:pPr>
    </w:p>
    <w:p w14:paraId="55315E51" w14:textId="77777777" w:rsidR="008B7712" w:rsidRDefault="004A33EF">
      <w:pPr>
        <w:pStyle w:val="BodyText"/>
      </w:pPr>
      <w:r>
        <w:rPr>
          <w:spacing w:val="-2"/>
          <w:lang w:val="en"/>
        </w:rPr>
        <w:t>Tyverisikring</w:t>
      </w:r>
    </w:p>
    <w:p w14:paraId="61FC1D92" w14:textId="77777777" w:rsidR="008B7712" w:rsidRDefault="004A33EF">
      <w:pPr>
        <w:pStyle w:val="ListParagraph"/>
        <w:numPr>
          <w:ilvl w:val="0"/>
          <w:numId w:val="1"/>
        </w:numPr>
        <w:tabs>
          <w:tab w:val="left" w:pos="492"/>
          <w:tab w:val="left" w:pos="493"/>
        </w:tabs>
        <w:spacing w:before="1"/>
        <w:ind w:right="585"/>
      </w:pPr>
      <w:r>
        <w:rPr>
          <w:lang w:val="en"/>
        </w:rPr>
        <w:t>Items must be properly secured against theft.  Doors, windows and other openings should be closed and locked. Keys should be kept out of the reach of unauthorized persons</w:t>
      </w:r>
    </w:p>
    <w:p w14:paraId="20074335" w14:textId="77777777" w:rsidR="008B7712" w:rsidRDefault="004A33EF">
      <w:pPr>
        <w:pStyle w:val="ListParagraph"/>
        <w:numPr>
          <w:ilvl w:val="0"/>
          <w:numId w:val="1"/>
        </w:numPr>
        <w:tabs>
          <w:tab w:val="left" w:pos="492"/>
          <w:tab w:val="left" w:pos="493"/>
        </w:tabs>
        <w:ind w:right="254"/>
      </w:pPr>
      <w:r>
        <w:rPr>
          <w:lang w:val="en"/>
        </w:rPr>
        <w:t xml:space="preserve">Valuables that are not in use should be kept under lock. In vehicles/caravans, they must be stored in a closed glove compartment, in separate, locked luggage storageor equivalent locked room without access. Examples of valuables are money, jewelry, watches, electronic equipment with accessories such as computer, mobile phone and </w:t>
      </w:r>
      <w:r>
        <w:rPr>
          <w:spacing w:val="-2"/>
          <w:lang w:val="en"/>
        </w:rPr>
        <w:t>camera</w:t>
      </w:r>
    </w:p>
    <w:p w14:paraId="51AA0193" w14:textId="77777777" w:rsidR="008B7712" w:rsidRDefault="004A33EF">
      <w:pPr>
        <w:pStyle w:val="ListParagraph"/>
        <w:numPr>
          <w:ilvl w:val="0"/>
          <w:numId w:val="1"/>
        </w:numPr>
        <w:tabs>
          <w:tab w:val="left" w:pos="492"/>
          <w:tab w:val="left" w:pos="493"/>
        </w:tabs>
        <w:ind w:right="585"/>
      </w:pPr>
      <w:r>
        <w:rPr>
          <w:lang w:val="en"/>
        </w:rPr>
        <w:t>Money, jewellery and watches must be   put on  or locked  in a fixed safe/storage box in the building. The safe key/code must be stored securely</w:t>
      </w:r>
    </w:p>
    <w:p w14:paraId="020B3C86" w14:textId="77777777" w:rsidR="008B7712" w:rsidRDefault="004A33EF">
      <w:pPr>
        <w:pStyle w:val="ListParagraph"/>
        <w:numPr>
          <w:ilvl w:val="0"/>
          <w:numId w:val="1"/>
        </w:numPr>
        <w:tabs>
          <w:tab w:val="left" w:pos="492"/>
          <w:tab w:val="left" w:pos="493"/>
        </w:tabs>
        <w:spacing w:before="1"/>
      </w:pPr>
      <w:r>
        <w:rPr>
          <w:lang w:val="en"/>
        </w:rPr>
        <w:t>Bikes and bike trailers should be locked when  not  in</w:t>
      </w:r>
      <w:r>
        <w:rPr>
          <w:spacing w:val="-4"/>
          <w:lang w:val="en"/>
        </w:rPr>
        <w:t xml:space="preserve"> use</w:t>
      </w:r>
    </w:p>
    <w:p w14:paraId="041D852C" w14:textId="77777777" w:rsidR="008B7712" w:rsidRDefault="008B7712">
      <w:pPr>
        <w:pStyle w:val="BodyText"/>
        <w:spacing w:before="10"/>
        <w:ind w:left="0"/>
        <w:rPr>
          <w:sz w:val="21"/>
        </w:rPr>
      </w:pPr>
    </w:p>
    <w:p w14:paraId="7B8AAE11" w14:textId="77777777" w:rsidR="008B7712" w:rsidRDefault="004A33EF">
      <w:pPr>
        <w:pStyle w:val="BodyText"/>
      </w:pPr>
      <w:r>
        <w:rPr>
          <w:lang w:val="en"/>
        </w:rPr>
        <w:t>Mobile phone and</w:t>
      </w:r>
      <w:r>
        <w:rPr>
          <w:spacing w:val="-2"/>
          <w:lang w:val="en"/>
        </w:rPr>
        <w:t xml:space="preserve"> tablet</w:t>
      </w:r>
    </w:p>
    <w:p w14:paraId="1244C525" w14:textId="77777777" w:rsidR="008B7712" w:rsidRDefault="004A33EF">
      <w:pPr>
        <w:pStyle w:val="ListParagraph"/>
        <w:numPr>
          <w:ilvl w:val="0"/>
          <w:numId w:val="1"/>
        </w:numPr>
        <w:tabs>
          <w:tab w:val="left" w:pos="492"/>
          <w:tab w:val="left" w:pos="493"/>
        </w:tabs>
      </w:pPr>
      <w:r>
        <w:rPr>
          <w:lang w:val="en"/>
        </w:rPr>
        <w:t>Mobile phone and tablet should have screen protector attached  to reduce  damage  to broken/broken</w:t>
      </w:r>
      <w:r>
        <w:rPr>
          <w:spacing w:val="-2"/>
          <w:lang w:val="en"/>
        </w:rPr>
        <w:t xml:space="preserve"> screen</w:t>
      </w:r>
    </w:p>
    <w:p w14:paraId="734BD443" w14:textId="77777777" w:rsidR="008B7712" w:rsidRDefault="008B7712">
      <w:pPr>
        <w:pStyle w:val="BodyText"/>
        <w:spacing w:before="1"/>
        <w:ind w:left="0"/>
      </w:pPr>
    </w:p>
    <w:p w14:paraId="3F1AF48B" w14:textId="77777777" w:rsidR="008B7712" w:rsidRDefault="004A33EF">
      <w:pPr>
        <w:pStyle w:val="BodyText"/>
      </w:pPr>
      <w:r>
        <w:rPr>
          <w:lang w:val="en"/>
        </w:rPr>
        <w:t xml:space="preserve"> Nightly</w:t>
      </w:r>
      <w:r>
        <w:rPr>
          <w:spacing w:val="-2"/>
          <w:lang w:val="en"/>
        </w:rPr>
        <w:t xml:space="preserve"> storage</w:t>
      </w:r>
    </w:p>
    <w:p w14:paraId="0824490C" w14:textId="77777777" w:rsidR="008B7712" w:rsidRDefault="004A33EF">
      <w:pPr>
        <w:pStyle w:val="ListParagraph"/>
        <w:numPr>
          <w:ilvl w:val="0"/>
          <w:numId w:val="1"/>
        </w:numPr>
        <w:tabs>
          <w:tab w:val="left" w:pos="492"/>
          <w:tab w:val="left" w:pos="493"/>
        </w:tabs>
        <w:ind w:right="434"/>
      </w:pPr>
      <w:r>
        <w:rPr>
          <w:lang w:val="en"/>
        </w:rPr>
        <w:t>Items should not be left in/on motor vehicles, caravans, boats or tents  at night, i.e.  from  00:00 to 06:00.</w:t>
      </w:r>
    </w:p>
    <w:p w14:paraId="73130EF3" w14:textId="77777777" w:rsidR="008B7712" w:rsidRDefault="008B7712">
      <w:pPr>
        <w:pStyle w:val="BodyText"/>
        <w:spacing w:before="11"/>
        <w:ind w:left="0"/>
        <w:rPr>
          <w:sz w:val="21"/>
        </w:rPr>
      </w:pPr>
    </w:p>
    <w:p w14:paraId="3D3165F5" w14:textId="77777777" w:rsidR="008B7712" w:rsidRDefault="004A33EF">
      <w:pPr>
        <w:pStyle w:val="BodyText"/>
      </w:pPr>
      <w:r>
        <w:rPr>
          <w:spacing w:val="-2"/>
          <w:lang w:val="en"/>
        </w:rPr>
        <w:t>Packaging/gasket</w:t>
      </w:r>
    </w:p>
    <w:p w14:paraId="2B212E37" w14:textId="77777777" w:rsidR="008B7712" w:rsidRDefault="004A33EF">
      <w:pPr>
        <w:pStyle w:val="ListParagraph"/>
        <w:numPr>
          <w:ilvl w:val="0"/>
          <w:numId w:val="1"/>
        </w:numPr>
        <w:tabs>
          <w:tab w:val="left" w:pos="492"/>
          <w:tab w:val="left" w:pos="493"/>
        </w:tabs>
        <w:spacing w:before="1"/>
      </w:pPr>
      <w:r>
        <w:rPr>
          <w:lang w:val="en"/>
        </w:rPr>
        <w:t>Items should be sufficiently wrapped  so that they can withstand</w:t>
      </w:r>
      <w:r>
        <w:rPr>
          <w:spacing w:val="-2"/>
          <w:lang w:val="en"/>
        </w:rPr>
        <w:t xml:space="preserve"> transport</w:t>
      </w:r>
    </w:p>
    <w:p w14:paraId="32F6AF06" w14:textId="77777777" w:rsidR="008B7712" w:rsidRDefault="004A33EF">
      <w:pPr>
        <w:pStyle w:val="ListParagraph"/>
        <w:numPr>
          <w:ilvl w:val="0"/>
          <w:numId w:val="1"/>
        </w:numPr>
        <w:tabs>
          <w:tab w:val="left" w:pos="492"/>
          <w:tab w:val="left" w:pos="493"/>
        </w:tabs>
      </w:pPr>
      <w:r>
        <w:rPr>
          <w:lang w:val="en"/>
        </w:rPr>
        <w:t>Electronic equipment  carried in boats, canoes and kayaks must be packed in waterproof</w:t>
      </w:r>
      <w:r>
        <w:rPr>
          <w:spacing w:val="-2"/>
          <w:lang w:val="en"/>
        </w:rPr>
        <w:t xml:space="preserve"> packaging</w:t>
      </w:r>
    </w:p>
    <w:p w14:paraId="3CA5581D" w14:textId="77777777" w:rsidR="008B7712" w:rsidRDefault="004A33EF">
      <w:pPr>
        <w:pStyle w:val="ListParagraph"/>
        <w:numPr>
          <w:ilvl w:val="0"/>
          <w:numId w:val="1"/>
        </w:numPr>
        <w:tabs>
          <w:tab w:val="left" w:pos="492"/>
          <w:tab w:val="left" w:pos="493"/>
        </w:tabs>
        <w:spacing w:before="1"/>
      </w:pPr>
      <w:r>
        <w:rPr>
          <w:lang w:val="en"/>
        </w:rPr>
        <w:t>The carrier's provisions shall be complied with when luggage</w:t>
      </w:r>
      <w:r>
        <w:rPr>
          <w:spacing w:val="-2"/>
          <w:lang w:val="en"/>
        </w:rPr>
        <w:t xml:space="preserve"> is sent</w:t>
      </w:r>
    </w:p>
    <w:p w14:paraId="2E322FB2" w14:textId="77777777" w:rsidR="008B7712" w:rsidRDefault="008B7712">
      <w:pPr>
        <w:pStyle w:val="BodyText"/>
        <w:ind w:left="0"/>
      </w:pPr>
    </w:p>
    <w:p w14:paraId="565C8D5D" w14:textId="77777777" w:rsidR="008B7712" w:rsidRDefault="004A33EF">
      <w:pPr>
        <w:pStyle w:val="BodyText"/>
        <w:spacing w:line="268" w:lineRule="exact"/>
      </w:pPr>
      <w:r>
        <w:rPr>
          <w:spacing w:val="-2"/>
          <w:lang w:val="en"/>
        </w:rPr>
        <w:t>Reisesyke/repatriation/accident</w:t>
      </w:r>
    </w:p>
    <w:p w14:paraId="37A8107D" w14:textId="77777777" w:rsidR="008B7712" w:rsidRDefault="004A33EF">
      <w:pPr>
        <w:pStyle w:val="ListParagraph"/>
        <w:numPr>
          <w:ilvl w:val="0"/>
          <w:numId w:val="1"/>
        </w:numPr>
        <w:tabs>
          <w:tab w:val="left" w:pos="492"/>
          <w:tab w:val="left" w:pos="493"/>
        </w:tabs>
        <w:spacing w:line="279" w:lineRule="exact"/>
      </w:pPr>
      <w:r>
        <w:rPr>
          <w:lang w:val="en"/>
        </w:rPr>
        <w:t>In the event of illness or injury,  the company or SOS International AS must be contacted  as  soon as</w:t>
      </w:r>
      <w:r>
        <w:rPr>
          <w:spacing w:val="-2"/>
          <w:lang w:val="en"/>
        </w:rPr>
        <w:t xml:space="preserve"> possible</w:t>
      </w:r>
    </w:p>
    <w:p w14:paraId="458D4DDF" w14:textId="77777777" w:rsidR="008B7712" w:rsidRDefault="004A33EF">
      <w:pPr>
        <w:pStyle w:val="ListParagraph"/>
        <w:numPr>
          <w:ilvl w:val="0"/>
          <w:numId w:val="1"/>
        </w:numPr>
        <w:tabs>
          <w:tab w:val="left" w:pos="492"/>
          <w:tab w:val="left" w:pos="493"/>
        </w:tabs>
        <w:spacing w:before="1"/>
      </w:pPr>
      <w:r>
        <w:rPr>
          <w:lang w:val="en"/>
        </w:rPr>
        <w:t>The insured should  seek medical attention as  soon as possible and follow the doctor's instructions on</w:t>
      </w:r>
      <w:r>
        <w:rPr>
          <w:spacing w:val="-2"/>
          <w:lang w:val="en"/>
        </w:rPr>
        <w:t xml:space="preserve"> treatment</w:t>
      </w:r>
    </w:p>
    <w:p w14:paraId="58F14245" w14:textId="77777777" w:rsidR="008B7712" w:rsidRDefault="004A33EF">
      <w:pPr>
        <w:pStyle w:val="ListParagraph"/>
        <w:numPr>
          <w:ilvl w:val="0"/>
          <w:numId w:val="1"/>
        </w:numPr>
        <w:tabs>
          <w:tab w:val="left" w:pos="492"/>
          <w:tab w:val="left" w:pos="493"/>
        </w:tabs>
        <w:spacing w:before="1"/>
        <w:ind w:right="830"/>
      </w:pPr>
      <w:r>
        <w:rPr>
          <w:lang w:val="en"/>
        </w:rPr>
        <w:t>Hospital stays, hospital stays as a result of bed rest according to  the doctor's instructions, repatriation, companionship and summons of family must be approved by the company in advance</w:t>
      </w:r>
    </w:p>
    <w:p w14:paraId="3A883E3D" w14:textId="77777777" w:rsidR="008B7712" w:rsidRDefault="004A33EF">
      <w:pPr>
        <w:pStyle w:val="ListParagraph"/>
        <w:numPr>
          <w:ilvl w:val="0"/>
          <w:numId w:val="1"/>
        </w:numPr>
        <w:tabs>
          <w:tab w:val="left" w:pos="492"/>
          <w:tab w:val="left" w:pos="493"/>
        </w:tabs>
        <w:spacing w:before="2" w:line="237" w:lineRule="auto"/>
        <w:ind w:right="451"/>
      </w:pPr>
      <w:r>
        <w:rPr>
          <w:lang w:val="en"/>
        </w:rPr>
        <w:t xml:space="preserve">In the event of interrupted travel, repatriation and accompanying, there shall be  written confirmation from the attending physician on </w:t>
      </w:r>
      <w:r>
        <w:rPr>
          <w:spacing w:val="-2"/>
          <w:lang w:val="en"/>
        </w:rPr>
        <w:t>site</w:t>
      </w:r>
    </w:p>
    <w:p w14:paraId="17C87697" w14:textId="77777777" w:rsidR="008B7712" w:rsidRDefault="008B7712">
      <w:pPr>
        <w:pStyle w:val="BodyText"/>
        <w:spacing w:before="4"/>
        <w:ind w:left="0"/>
        <w:rPr>
          <w:sz w:val="17"/>
        </w:rPr>
      </w:pPr>
    </w:p>
    <w:p w14:paraId="007A3CD3" w14:textId="77777777" w:rsidR="008B7712" w:rsidRDefault="004A33EF">
      <w:pPr>
        <w:pStyle w:val="BodyText"/>
        <w:spacing w:line="268" w:lineRule="exact"/>
      </w:pPr>
      <w:r>
        <w:rPr>
          <w:lang w:val="en"/>
        </w:rPr>
        <w:t>Disease with</w:t>
      </w:r>
      <w:r>
        <w:rPr>
          <w:spacing w:val="-2"/>
          <w:lang w:val="en"/>
        </w:rPr>
        <w:t xml:space="preserve"> treatment needs</w:t>
      </w:r>
    </w:p>
    <w:p w14:paraId="6C7C2671" w14:textId="77777777" w:rsidR="008B7712" w:rsidRDefault="004A33EF">
      <w:pPr>
        <w:pStyle w:val="ListParagraph"/>
        <w:numPr>
          <w:ilvl w:val="0"/>
          <w:numId w:val="1"/>
        </w:numPr>
        <w:tabs>
          <w:tab w:val="left" w:pos="492"/>
          <w:tab w:val="left" w:pos="493"/>
        </w:tabs>
        <w:ind w:right="683"/>
      </w:pPr>
      <w:r>
        <w:rPr>
          <w:lang w:val="en"/>
        </w:rPr>
        <w:t>The  secured shall not travel when there is a  disease with a need for treatment before the course of treatment  , and this is known to the safest. The same applies if there is illness and complications/deterioration may occur.</w:t>
      </w:r>
    </w:p>
    <w:p w14:paraId="71DBBB4E" w14:textId="77777777" w:rsidR="008B7712" w:rsidRDefault="008B7712">
      <w:pPr>
        <w:pStyle w:val="BodyText"/>
        <w:spacing w:before="12"/>
        <w:ind w:left="0"/>
        <w:rPr>
          <w:sz w:val="21"/>
        </w:rPr>
      </w:pPr>
    </w:p>
    <w:p w14:paraId="15AD8744" w14:textId="77777777" w:rsidR="008B7712" w:rsidRDefault="004A33EF">
      <w:pPr>
        <w:pStyle w:val="BodyText"/>
      </w:pPr>
      <w:r>
        <w:rPr>
          <w:spacing w:val="-2"/>
          <w:lang w:val="en"/>
        </w:rPr>
        <w:t>Cancellation</w:t>
      </w:r>
    </w:p>
    <w:p w14:paraId="3D2AECC8" w14:textId="77777777" w:rsidR="008B7712" w:rsidRDefault="004A33EF">
      <w:pPr>
        <w:pStyle w:val="ListParagraph"/>
        <w:numPr>
          <w:ilvl w:val="0"/>
          <w:numId w:val="1"/>
        </w:numPr>
        <w:tabs>
          <w:tab w:val="left" w:pos="492"/>
          <w:tab w:val="left" w:pos="493"/>
        </w:tabs>
      </w:pPr>
      <w:r>
        <w:rPr>
          <w:lang w:val="en"/>
        </w:rPr>
        <w:t xml:space="preserve">The secured shall cancel travel and accommodation  as soon as the secured know that the journey cannot </w:t>
      </w:r>
      <w:r>
        <w:rPr>
          <w:spacing w:val="-2"/>
          <w:lang w:val="en"/>
        </w:rPr>
        <w:t xml:space="preserve"> be carried out</w:t>
      </w:r>
    </w:p>
    <w:p w14:paraId="32CA8D86" w14:textId="77777777" w:rsidR="008B7712" w:rsidRDefault="004A33EF">
      <w:pPr>
        <w:pStyle w:val="BodyText"/>
        <w:ind w:left="492"/>
      </w:pPr>
      <w:r>
        <w:rPr>
          <w:lang w:val="en"/>
        </w:rPr>
        <w:t>The safest shall present a medical certificate  stating that the doctor has been physically visited before  the start of the trip, and where the doctor confirms that the cancellation is due to unexpectedly acute and treatment-intensive illness/accident</w:t>
      </w:r>
    </w:p>
    <w:p w14:paraId="1FA4117E" w14:textId="77777777" w:rsidR="008B7712" w:rsidRDefault="008B7712">
      <w:pPr>
        <w:sectPr w:rsidR="008B7712">
          <w:pgSz w:w="11910" w:h="16840"/>
          <w:pgMar w:top="1480" w:right="620" w:bottom="1500" w:left="720" w:header="0" w:footer="1309" w:gutter="0"/>
          <w:cols w:space="720"/>
        </w:sectPr>
      </w:pPr>
    </w:p>
    <w:p w14:paraId="743FD102" w14:textId="77777777" w:rsidR="008B7712" w:rsidRDefault="004A33EF">
      <w:pPr>
        <w:pStyle w:val="BodyText"/>
        <w:spacing w:before="39"/>
      </w:pPr>
      <w:r>
        <w:rPr>
          <w:lang w:val="en"/>
        </w:rPr>
        <w:lastRenderedPageBreak/>
        <w:t>Medical</w:t>
      </w:r>
      <w:r>
        <w:rPr>
          <w:spacing w:val="-2"/>
          <w:lang w:val="en"/>
        </w:rPr>
        <w:t xml:space="preserve"> pre-approval</w:t>
      </w:r>
    </w:p>
    <w:p w14:paraId="4F422972" w14:textId="77777777" w:rsidR="008B7712" w:rsidRDefault="004A33EF">
      <w:pPr>
        <w:pStyle w:val="ListParagraph"/>
        <w:numPr>
          <w:ilvl w:val="0"/>
          <w:numId w:val="1"/>
        </w:numPr>
        <w:tabs>
          <w:tab w:val="left" w:pos="492"/>
          <w:tab w:val="left" w:pos="493"/>
        </w:tabs>
        <w:spacing w:before="1"/>
        <w:ind w:right="1011"/>
      </w:pPr>
      <w:r>
        <w:rPr>
          <w:lang w:val="en"/>
        </w:rPr>
        <w:t>Are secured during treatment for illness/disorder, the secured shall contact   the company before departure  for an assessment of whether it is prudent to make the journey, and that complication is unlikely to</w:t>
      </w:r>
    </w:p>
    <w:p w14:paraId="383CCDA9" w14:textId="77777777" w:rsidR="008B7712" w:rsidRDefault="008B7712">
      <w:pPr>
        <w:pStyle w:val="BodyText"/>
        <w:ind w:left="0"/>
      </w:pPr>
    </w:p>
    <w:p w14:paraId="0FAA9EAB" w14:textId="77777777" w:rsidR="008B7712" w:rsidRDefault="008B7712">
      <w:pPr>
        <w:pStyle w:val="BodyText"/>
        <w:ind w:left="0"/>
      </w:pPr>
    </w:p>
    <w:p w14:paraId="1F95CA88" w14:textId="77777777" w:rsidR="008B7712" w:rsidRDefault="008B7712">
      <w:pPr>
        <w:pStyle w:val="BodyText"/>
        <w:spacing w:before="1"/>
        <w:ind w:left="0"/>
      </w:pPr>
    </w:p>
    <w:p w14:paraId="50879707" w14:textId="77777777" w:rsidR="008B7712" w:rsidRDefault="004A33EF">
      <w:pPr>
        <w:spacing w:line="293" w:lineRule="exact"/>
        <w:ind w:left="132"/>
        <w:rPr>
          <w:sz w:val="24"/>
        </w:rPr>
      </w:pPr>
      <w:r>
        <w:rPr>
          <w:spacing w:val="-2"/>
          <w:sz w:val="24"/>
          <w:lang w:val="en"/>
        </w:rPr>
        <w:t>Generally informasjon</w:t>
      </w:r>
    </w:p>
    <w:p w14:paraId="7CB9B64A" w14:textId="77777777" w:rsidR="008B7712" w:rsidRDefault="004A33EF">
      <w:pPr>
        <w:pStyle w:val="BodyText"/>
      </w:pPr>
      <w:r>
        <w:rPr>
          <w:lang w:val="en"/>
        </w:rPr>
        <w:t>The company is meant Fremtind Forsikring AS.  Register of Business Enterprises NO 915 651</w:t>
      </w:r>
      <w:r>
        <w:rPr>
          <w:spacing w:val="-4"/>
          <w:lang w:val="en"/>
        </w:rPr>
        <w:t xml:space="preserve"> 232.</w:t>
      </w:r>
    </w:p>
    <w:p w14:paraId="7B933169" w14:textId="77777777" w:rsidR="008B7712" w:rsidRDefault="008B7712">
      <w:pPr>
        <w:pStyle w:val="BodyText"/>
        <w:spacing w:before="10"/>
        <w:ind w:left="0"/>
        <w:rPr>
          <w:sz w:val="21"/>
        </w:rPr>
      </w:pPr>
    </w:p>
    <w:p w14:paraId="58DB8526" w14:textId="77777777" w:rsidR="008B7712" w:rsidRDefault="004A33EF">
      <w:pPr>
        <w:pStyle w:val="BodyText"/>
        <w:ind w:right="256"/>
      </w:pPr>
      <w:r>
        <w:rPr>
          <w:lang w:val="en"/>
        </w:rPr>
        <w:t>The insurance is regulated by the  Act relating to insurance agreements of 16 June 2019.  June 1989 and  the legislation in general.  The evidence and conditions take precedence over where they differ from statutory provisions that are waivable.</w:t>
      </w:r>
    </w:p>
    <w:p w14:paraId="788FF451" w14:textId="77777777" w:rsidR="008B7712" w:rsidRDefault="008B7712">
      <w:pPr>
        <w:pStyle w:val="BodyText"/>
        <w:spacing w:before="1"/>
        <w:ind w:left="0"/>
      </w:pPr>
    </w:p>
    <w:p w14:paraId="459CCEBF" w14:textId="77777777" w:rsidR="008B7712" w:rsidRDefault="004A33EF">
      <w:pPr>
        <w:pStyle w:val="BodyText"/>
      </w:pPr>
      <w:r>
        <w:rPr>
          <w:spacing w:val="-2"/>
          <w:lang w:val="en"/>
        </w:rPr>
        <w:t>Informasjon</w:t>
      </w:r>
    </w:p>
    <w:p w14:paraId="2BB45107" w14:textId="77777777" w:rsidR="008B7712" w:rsidRDefault="004A33EF">
      <w:pPr>
        <w:pStyle w:val="BodyText"/>
        <w:spacing w:before="1"/>
      </w:pPr>
      <w:r>
        <w:rPr>
          <w:lang w:val="en"/>
        </w:rPr>
        <w:t>Information about the insurance scheme is distributed via DNB Bank</w:t>
      </w:r>
      <w:r>
        <w:rPr>
          <w:spacing w:val="-4"/>
          <w:lang w:val="en"/>
        </w:rPr>
        <w:t xml:space="preserve"> ASA.</w:t>
      </w:r>
    </w:p>
    <w:p w14:paraId="3F9532A4" w14:textId="77777777" w:rsidR="008B7712" w:rsidRDefault="008B7712">
      <w:pPr>
        <w:pStyle w:val="BodyText"/>
        <w:ind w:left="0"/>
      </w:pPr>
    </w:p>
    <w:p w14:paraId="59C480CA" w14:textId="77777777" w:rsidR="008B7712" w:rsidRDefault="004A33EF">
      <w:pPr>
        <w:pStyle w:val="BodyText"/>
        <w:spacing w:before="1"/>
      </w:pPr>
      <w:r>
        <w:rPr>
          <w:lang w:val="en"/>
        </w:rPr>
        <w:t>Notification of</w:t>
      </w:r>
      <w:r>
        <w:rPr>
          <w:spacing w:val="-2"/>
          <w:lang w:val="en"/>
        </w:rPr>
        <w:t xml:space="preserve"> damage</w:t>
      </w:r>
    </w:p>
    <w:p w14:paraId="628D9C99" w14:textId="77777777" w:rsidR="008B7712" w:rsidRDefault="004A33EF">
      <w:pPr>
        <w:pStyle w:val="BodyText"/>
      </w:pPr>
      <w:r>
        <w:rPr>
          <w:lang w:val="en"/>
        </w:rPr>
        <w:t>Skade shall without undue delay be reported to the company.  The secured loses the right to compensation if claims have  not been reported to the company within 1 year after the secured party gained knowledge of the circumstances that justify it.</w:t>
      </w:r>
    </w:p>
    <w:p w14:paraId="6DBD83E7" w14:textId="77777777" w:rsidR="008B7712" w:rsidRDefault="008B7712">
      <w:pPr>
        <w:pStyle w:val="BodyText"/>
        <w:spacing w:before="10"/>
        <w:ind w:left="0"/>
        <w:rPr>
          <w:sz w:val="21"/>
        </w:rPr>
      </w:pPr>
    </w:p>
    <w:p w14:paraId="1A7A2B75" w14:textId="77777777" w:rsidR="008B7712" w:rsidRDefault="004A33EF">
      <w:pPr>
        <w:pStyle w:val="BodyText"/>
      </w:pPr>
      <w:r>
        <w:rPr>
          <w:lang w:val="en"/>
        </w:rPr>
        <w:t>All damages reported  to insurance companies are registered in the Insurers' central injury register –  FOSS. The policyholders have the right of access to the register in accordance with the Data Protection Act.</w:t>
      </w:r>
    </w:p>
    <w:p w14:paraId="5BE1E8C4" w14:textId="77777777" w:rsidR="008B7712" w:rsidRDefault="008B7712">
      <w:pPr>
        <w:pStyle w:val="BodyText"/>
        <w:spacing w:before="1"/>
        <w:ind w:left="0"/>
      </w:pPr>
    </w:p>
    <w:p w14:paraId="04AB8910" w14:textId="77777777" w:rsidR="008B7712" w:rsidRDefault="004A33EF">
      <w:pPr>
        <w:pStyle w:val="BodyText"/>
      </w:pPr>
      <w:r>
        <w:rPr>
          <w:spacing w:val="-2"/>
          <w:lang w:val="en"/>
        </w:rPr>
        <w:t>Klagemuligheter</w:t>
      </w:r>
    </w:p>
    <w:p w14:paraId="43B5E6D5" w14:textId="77777777" w:rsidR="008B7712" w:rsidRDefault="004A33EF">
      <w:pPr>
        <w:pStyle w:val="BodyText"/>
        <w:ind w:right="256"/>
      </w:pPr>
      <w:r>
        <w:rPr>
          <w:lang w:val="en"/>
        </w:rPr>
        <w:t xml:space="preserve">Have you been in contact, but are still not satisfied?  Send a complaint to Fremtind Forsikring w/ </w:t>
      </w:r>
      <w:hyperlink r:id="rId9">
        <w:r>
          <w:rPr>
            <w:color w:val="D2601C"/>
            <w:spacing w:val="-2"/>
            <w:u w:val="single" w:color="D2601C"/>
            <w:lang w:val="en"/>
          </w:rPr>
          <w:t>klageservice@fremtind.no</w:t>
        </w:r>
      </w:hyperlink>
    </w:p>
    <w:p w14:paraId="34653FD0" w14:textId="77777777" w:rsidR="008B7712" w:rsidRDefault="004A33EF">
      <w:pPr>
        <w:pStyle w:val="BodyText"/>
        <w:spacing w:before="1"/>
      </w:pPr>
      <w:r>
        <w:rPr>
          <w:lang w:val="en"/>
        </w:rPr>
        <w:t>You can also send the complaint to Fremtind Forsikring v/ Klageservice, Boks 778 Sentrum, 0106</w:t>
      </w:r>
      <w:r>
        <w:rPr>
          <w:spacing w:val="-2"/>
          <w:lang w:val="en"/>
        </w:rPr>
        <w:t xml:space="preserve"> Oslo.</w:t>
      </w:r>
    </w:p>
    <w:p w14:paraId="2B4DDE83" w14:textId="2CC255B1" w:rsidR="008B7712" w:rsidRDefault="004A33EF">
      <w:pPr>
        <w:pStyle w:val="BodyText"/>
      </w:pPr>
      <w:r>
        <w:rPr>
          <w:lang w:val="en"/>
        </w:rPr>
        <w:t xml:space="preserve">If you still do not  agree with the decision in your  appeal, you can take the matter to </w:t>
      </w:r>
      <w:r>
        <w:rPr>
          <w:spacing w:val="-2"/>
          <w:lang w:val="en"/>
        </w:rPr>
        <w:t xml:space="preserve"> the Financial Complaints Board.</w:t>
      </w:r>
    </w:p>
    <w:sectPr w:rsidR="008B7712">
      <w:pgSz w:w="11910" w:h="16840"/>
      <w:pgMar w:top="1480" w:right="620" w:bottom="1500" w:left="720" w:header="0" w:footer="13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255EB" w14:textId="77777777" w:rsidR="001E307D" w:rsidRDefault="004A33EF">
      <w:r>
        <w:rPr>
          <w:lang w:val="en"/>
        </w:rPr>
        <w:separator/>
      </w:r>
    </w:p>
  </w:endnote>
  <w:endnote w:type="continuationSeparator" w:id="0">
    <w:p w14:paraId="1B0C37C3" w14:textId="77777777" w:rsidR="001E307D" w:rsidRDefault="004A33EF">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BCD79" w14:textId="77777777" w:rsidR="008B7712" w:rsidRDefault="00327E88">
    <w:pPr>
      <w:pStyle w:val="BodyText"/>
      <w:spacing w:line="14" w:lineRule="auto"/>
      <w:ind w:left="0"/>
      <w:rPr>
        <w:sz w:val="20"/>
      </w:rPr>
    </w:pPr>
    <w:r>
      <w:pict w14:anchorId="1571C3E9">
        <v:shapetype id="_x0000_t202" coordsize="21600,21600" o:spt="202" path="m,l,21600r21600,l21600,xe">
          <v:stroke joinstyle="miter"/>
          <v:path gradientshapeok="t" o:connecttype="rect"/>
        </v:shapetype>
        <v:shape id="docshape1" o:spid="_x0000_s2049" type="#_x0000_t202" style="position:absolute;margin-left:39.6pt;margin-top:765.35pt;width:11.5pt;height:11pt;z-index:-251658752;mso-position-horizontal-relative:page;mso-position-vertical-relative:page" filled="f" stroked="f">
          <v:textbox inset="0,0,0,0">
            <w:txbxContent>
              <w:p w14:paraId="4875835B" w14:textId="77777777" w:rsidR="008B7712" w:rsidRDefault="004A33EF">
                <w:pPr>
                  <w:spacing w:before="15"/>
                  <w:ind w:left="60"/>
                  <w:rPr>
                    <w:rFonts w:ascii="Arial"/>
                    <w:sz w:val="16"/>
                  </w:rPr>
                </w:pPr>
                <w:r>
                  <w:rPr>
                    <w:sz w:val="16"/>
                    <w:lang w:val="en"/>
                  </w:rPr>
                  <w:fldChar w:fldCharType="begin"/>
                </w:r>
                <w:r>
                  <w:rPr>
                    <w:sz w:val="16"/>
                    <w:lang w:val="en"/>
                  </w:rPr>
                  <w:instrText xml:space="preserve"> PAGE </w:instrText>
                </w:r>
                <w:r>
                  <w:rPr>
                    <w:sz w:val="16"/>
                    <w:lang w:val="en"/>
                  </w:rPr>
                  <w:fldChar w:fldCharType="separate"/>
                </w:r>
                <w:r>
                  <w:rPr>
                    <w:sz w:val="16"/>
                    <w:lang w:val="en"/>
                  </w:rPr>
                  <w:t>1</w:t>
                </w:r>
                <w:r>
                  <w:rPr>
                    <w:sz w:val="16"/>
                    <w:lang w:val="en"/>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772D" w14:textId="77777777" w:rsidR="001E307D" w:rsidRDefault="004A33EF">
      <w:r>
        <w:rPr>
          <w:lang w:val="en"/>
        </w:rPr>
        <w:separator/>
      </w:r>
    </w:p>
  </w:footnote>
  <w:footnote w:type="continuationSeparator" w:id="0">
    <w:p w14:paraId="50E16F14" w14:textId="77777777" w:rsidR="001E307D" w:rsidRDefault="004A33EF">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D51B3"/>
    <w:multiLevelType w:val="hybridMultilevel"/>
    <w:tmpl w:val="14D47CB4"/>
    <w:lvl w:ilvl="0" w:tplc="745A01F6">
      <w:numFmt w:val="bullet"/>
      <w:lvlText w:val=""/>
      <w:lvlJc w:val="left"/>
      <w:pPr>
        <w:ind w:left="852" w:hanging="360"/>
      </w:pPr>
      <w:rPr>
        <w:rFonts w:ascii="Symbol" w:eastAsia="Symbol" w:hAnsi="Symbol" w:cs="Symbol" w:hint="default"/>
        <w:b w:val="0"/>
        <w:bCs w:val="0"/>
        <w:i w:val="0"/>
        <w:iCs w:val="0"/>
        <w:w w:val="100"/>
        <w:sz w:val="22"/>
        <w:szCs w:val="22"/>
        <w:lang w:eastAsia="en-US" w:bidi="ar-SA"/>
      </w:rPr>
    </w:lvl>
    <w:lvl w:ilvl="1" w:tplc="A7EC9E0E">
      <w:numFmt w:val="bullet"/>
      <w:lvlText w:val="•"/>
      <w:lvlJc w:val="left"/>
      <w:pPr>
        <w:ind w:left="1830" w:hanging="360"/>
      </w:pPr>
      <w:rPr>
        <w:rFonts w:hint="default"/>
        <w:lang w:eastAsia="en-US" w:bidi="ar-SA"/>
      </w:rPr>
    </w:lvl>
    <w:lvl w:ilvl="2" w:tplc="0074ADFE">
      <w:numFmt w:val="bullet"/>
      <w:lvlText w:val="•"/>
      <w:lvlJc w:val="left"/>
      <w:pPr>
        <w:ind w:left="2800" w:hanging="360"/>
      </w:pPr>
      <w:rPr>
        <w:rFonts w:hint="default"/>
        <w:lang w:eastAsia="en-US" w:bidi="ar-SA"/>
      </w:rPr>
    </w:lvl>
    <w:lvl w:ilvl="3" w:tplc="766A5EDA">
      <w:numFmt w:val="bullet"/>
      <w:lvlText w:val="•"/>
      <w:lvlJc w:val="left"/>
      <w:pPr>
        <w:ind w:left="3771" w:hanging="360"/>
      </w:pPr>
      <w:rPr>
        <w:rFonts w:hint="default"/>
        <w:lang w:eastAsia="en-US" w:bidi="ar-SA"/>
      </w:rPr>
    </w:lvl>
    <w:lvl w:ilvl="4" w:tplc="54CC758E">
      <w:numFmt w:val="bullet"/>
      <w:lvlText w:val="•"/>
      <w:lvlJc w:val="left"/>
      <w:pPr>
        <w:ind w:left="4741" w:hanging="360"/>
      </w:pPr>
      <w:rPr>
        <w:rFonts w:hint="default"/>
        <w:lang w:eastAsia="en-US" w:bidi="ar-SA"/>
      </w:rPr>
    </w:lvl>
    <w:lvl w:ilvl="5" w:tplc="2996E690">
      <w:numFmt w:val="bullet"/>
      <w:lvlText w:val="•"/>
      <w:lvlJc w:val="left"/>
      <w:pPr>
        <w:ind w:left="5712" w:hanging="360"/>
      </w:pPr>
      <w:rPr>
        <w:rFonts w:hint="default"/>
        <w:lang w:eastAsia="en-US" w:bidi="ar-SA"/>
      </w:rPr>
    </w:lvl>
    <w:lvl w:ilvl="6" w:tplc="E66A0C7C">
      <w:numFmt w:val="bullet"/>
      <w:lvlText w:val="•"/>
      <w:lvlJc w:val="left"/>
      <w:pPr>
        <w:ind w:left="6682" w:hanging="360"/>
      </w:pPr>
      <w:rPr>
        <w:rFonts w:hint="default"/>
        <w:lang w:eastAsia="en-US" w:bidi="ar-SA"/>
      </w:rPr>
    </w:lvl>
    <w:lvl w:ilvl="7" w:tplc="6AB2A718">
      <w:numFmt w:val="bullet"/>
      <w:lvlText w:val="•"/>
      <w:lvlJc w:val="left"/>
      <w:pPr>
        <w:ind w:left="7652" w:hanging="360"/>
      </w:pPr>
      <w:rPr>
        <w:rFonts w:hint="default"/>
        <w:lang w:eastAsia="en-US" w:bidi="ar-SA"/>
      </w:rPr>
    </w:lvl>
    <w:lvl w:ilvl="8" w:tplc="E662DAEA">
      <w:numFmt w:val="bullet"/>
      <w:lvlText w:val="•"/>
      <w:lvlJc w:val="left"/>
      <w:pPr>
        <w:ind w:left="8623" w:hanging="360"/>
      </w:pPr>
      <w:rPr>
        <w:rFonts w:hint="default"/>
        <w:lang w:eastAsia="en-US" w:bidi="ar-SA"/>
      </w:rPr>
    </w:lvl>
  </w:abstractNum>
  <w:abstractNum w:abstractNumId="1" w15:restartNumberingAfterBreak="0">
    <w:nsid w:val="712A3807"/>
    <w:multiLevelType w:val="hybridMultilevel"/>
    <w:tmpl w:val="24D44370"/>
    <w:lvl w:ilvl="0" w:tplc="A970A62E">
      <w:numFmt w:val="bullet"/>
      <w:lvlText w:val=""/>
      <w:lvlJc w:val="left"/>
      <w:pPr>
        <w:ind w:left="492" w:hanging="361"/>
      </w:pPr>
      <w:rPr>
        <w:rFonts w:ascii="Symbol" w:eastAsia="Symbol" w:hAnsi="Symbol" w:cs="Symbol" w:hint="default"/>
        <w:b w:val="0"/>
        <w:bCs w:val="0"/>
        <w:i w:val="0"/>
        <w:iCs w:val="0"/>
        <w:w w:val="100"/>
        <w:sz w:val="22"/>
        <w:szCs w:val="22"/>
        <w:lang w:eastAsia="en-US" w:bidi="ar-SA"/>
      </w:rPr>
    </w:lvl>
    <w:lvl w:ilvl="1" w:tplc="C012F6A2">
      <w:numFmt w:val="bullet"/>
      <w:lvlText w:val="•"/>
      <w:lvlJc w:val="left"/>
      <w:pPr>
        <w:ind w:left="1506" w:hanging="361"/>
      </w:pPr>
      <w:rPr>
        <w:rFonts w:hint="default"/>
        <w:lang w:eastAsia="en-US" w:bidi="ar-SA"/>
      </w:rPr>
    </w:lvl>
    <w:lvl w:ilvl="2" w:tplc="384ACD68">
      <w:numFmt w:val="bullet"/>
      <w:lvlText w:val="•"/>
      <w:lvlJc w:val="left"/>
      <w:pPr>
        <w:ind w:left="2512" w:hanging="361"/>
      </w:pPr>
      <w:rPr>
        <w:rFonts w:hint="default"/>
        <w:lang w:eastAsia="en-US" w:bidi="ar-SA"/>
      </w:rPr>
    </w:lvl>
    <w:lvl w:ilvl="3" w:tplc="90A8F4FC">
      <w:numFmt w:val="bullet"/>
      <w:lvlText w:val="•"/>
      <w:lvlJc w:val="left"/>
      <w:pPr>
        <w:ind w:left="3519" w:hanging="361"/>
      </w:pPr>
      <w:rPr>
        <w:rFonts w:hint="default"/>
        <w:lang w:eastAsia="en-US" w:bidi="ar-SA"/>
      </w:rPr>
    </w:lvl>
    <w:lvl w:ilvl="4" w:tplc="16B2053A">
      <w:numFmt w:val="bullet"/>
      <w:lvlText w:val="•"/>
      <w:lvlJc w:val="left"/>
      <w:pPr>
        <w:ind w:left="4525" w:hanging="361"/>
      </w:pPr>
      <w:rPr>
        <w:rFonts w:hint="default"/>
        <w:lang w:eastAsia="en-US" w:bidi="ar-SA"/>
      </w:rPr>
    </w:lvl>
    <w:lvl w:ilvl="5" w:tplc="F920E48A">
      <w:numFmt w:val="bullet"/>
      <w:lvlText w:val="•"/>
      <w:lvlJc w:val="left"/>
      <w:pPr>
        <w:ind w:left="5532" w:hanging="361"/>
      </w:pPr>
      <w:rPr>
        <w:rFonts w:hint="default"/>
        <w:lang w:eastAsia="en-US" w:bidi="ar-SA"/>
      </w:rPr>
    </w:lvl>
    <w:lvl w:ilvl="6" w:tplc="1F382DAE">
      <w:numFmt w:val="bullet"/>
      <w:lvlText w:val="•"/>
      <w:lvlJc w:val="left"/>
      <w:pPr>
        <w:ind w:left="6538" w:hanging="361"/>
      </w:pPr>
      <w:rPr>
        <w:rFonts w:hint="default"/>
        <w:lang w:eastAsia="en-US" w:bidi="ar-SA"/>
      </w:rPr>
    </w:lvl>
    <w:lvl w:ilvl="7" w:tplc="B4908CCC">
      <w:numFmt w:val="bullet"/>
      <w:lvlText w:val="•"/>
      <w:lvlJc w:val="left"/>
      <w:pPr>
        <w:ind w:left="7544" w:hanging="361"/>
      </w:pPr>
      <w:rPr>
        <w:rFonts w:hint="default"/>
        <w:lang w:eastAsia="en-US" w:bidi="ar-SA"/>
      </w:rPr>
    </w:lvl>
    <w:lvl w:ilvl="8" w:tplc="FF76FFB0">
      <w:numFmt w:val="bullet"/>
      <w:lvlText w:val="•"/>
      <w:lvlJc w:val="left"/>
      <w:pPr>
        <w:ind w:left="8551" w:hanging="361"/>
      </w:pPr>
      <w:rPr>
        <w:rFonts w:hint="default"/>
        <w:lang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B7712"/>
    <w:rsid w:val="001E307D"/>
    <w:rsid w:val="00327E88"/>
    <w:rsid w:val="004A33EF"/>
    <w:rsid w:val="008B77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183E1E"/>
  <w15:docId w15:val="{155037C5-454C-4E8F-8258-4A7882E2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2"/>
    </w:pPr>
  </w:style>
  <w:style w:type="paragraph" w:styleId="Title">
    <w:name w:val="Title"/>
    <w:basedOn w:val="Normal"/>
    <w:uiPriority w:val="10"/>
    <w:qFormat/>
    <w:pPr>
      <w:spacing w:before="32"/>
      <w:ind w:left="132"/>
    </w:pPr>
    <w:rPr>
      <w:sz w:val="28"/>
      <w:szCs w:val="28"/>
    </w:rPr>
  </w:style>
  <w:style w:type="paragraph" w:styleId="ListParagraph">
    <w:name w:val="List Paragraph"/>
    <w:basedOn w:val="Normal"/>
    <w:uiPriority w:val="1"/>
    <w:qFormat/>
    <w:pPr>
      <w:ind w:left="492" w:hanging="361"/>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327E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os@so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lageservice@fremtind.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1833</Words>
  <Characters>10452</Characters>
  <Application>Microsoft Office Word</Application>
  <DocSecurity>0</DocSecurity>
  <Lines>87</Lines>
  <Paragraphs>24</Paragraphs>
  <ScaleCrop>false</ScaleCrop>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dc:title>
  <dc:subject/>
  <dc:creator>Jorunn Dalen Eide</dc:creator>
  <dc:description/>
  <cp:lastModifiedBy>Tony</cp:lastModifiedBy>
  <cp:revision>1</cp:revision>
  <dcterms:created xsi:type="dcterms:W3CDTF">2022-07-23T18:42:00Z</dcterms:created>
  <dcterms:modified xsi:type="dcterms:W3CDTF">2022-07-23T18:54:00Z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2022-07-23T00:00:00Z</vt:filetime>
  </property>
  <property fmtid="{D5CDD505-2E9C-101B-9397-08002B2CF9AE}" pid="5" name="Producer">
    <vt:lpwstr>Microsoft® Word for Microsoft 365</vt:lpwstr>
  </property>
</Properties>
</file>