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68"/>
        <w:ind w:right="994"/>
      </w:pPr>
      <w:r>
        <w:rPr/>
        <w:t>A</w:t>
      </w:r>
      <w:r>
        <w:rPr>
          <w:spacing w:val="-12"/>
        </w:rPr>
        <w:t> </w:t>
      </w:r>
      <w:r>
        <w:rPr/>
        <w:t>Short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Ethics</w:t>
      </w:r>
      <w:r>
        <w:rPr>
          <w:spacing w:val="-12"/>
        </w:rPr>
        <w:t> </w:t>
      </w:r>
      <w:r>
        <w:rPr/>
        <w:t>Dilemma</w:t>
      </w:r>
    </w:p>
    <w:p>
      <w:pPr>
        <w:pStyle w:val="BodyText"/>
        <w:spacing w:before="229"/>
        <w:ind w:left="991" w:right="991"/>
        <w:jc w:val="center"/>
      </w:pPr>
      <w:r>
        <w:rPr/>
        <w:t>Tony</w:t>
      </w:r>
      <w:r>
        <w:rPr>
          <w:spacing w:val="-15"/>
        </w:rPr>
        <w:t> </w:t>
      </w:r>
      <w:r>
        <w:rPr/>
        <w:t>C.</w:t>
      </w:r>
      <w:r>
        <w:rPr>
          <w:spacing w:val="-15"/>
        </w:rPr>
        <w:t> </w:t>
      </w:r>
      <w:r>
        <w:rPr/>
        <w:t>A.</w:t>
      </w:r>
      <w:r>
        <w:rPr>
          <w:spacing w:val="-15"/>
        </w:rPr>
        <w:t> </w:t>
      </w:r>
      <w:r>
        <w:rPr/>
        <w:t>Tan</w:t>
      </w:r>
    </w:p>
    <w:p>
      <w:pPr>
        <w:pStyle w:val="BodyText"/>
        <w:spacing w:line="417" w:lineRule="auto" w:before="230"/>
        <w:ind w:left="2866" w:right="2865"/>
        <w:jc w:val="center"/>
      </w:pPr>
      <w:r>
        <w:rPr>
          <w:spacing w:val="-1"/>
        </w:rPr>
        <w:t>Centre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-17"/>
        </w:rPr>
        <w:t> </w:t>
      </w:r>
      <w:r>
        <w:rPr/>
        <w:t>Educational</w:t>
      </w:r>
      <w:r>
        <w:rPr>
          <w:spacing w:val="-17"/>
        </w:rPr>
        <w:t> </w:t>
      </w:r>
      <w:r>
        <w:rPr/>
        <w:t>Measurement</w:t>
      </w:r>
      <w:r>
        <w:rPr>
          <w:spacing w:val="-70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Oslo</w:t>
      </w:r>
    </w:p>
    <w:p>
      <w:pPr>
        <w:pStyle w:val="BodyText"/>
        <w:spacing w:line="417" w:lineRule="auto"/>
        <w:ind w:left="3278" w:right="3276" w:hanging="1"/>
        <w:jc w:val="center"/>
      </w:pPr>
      <w:r>
        <w:rPr/>
        <w:t>UV9010 Research Ethics</w:t>
      </w:r>
      <w:r>
        <w:rPr>
          <w:spacing w:val="1"/>
        </w:rPr>
        <w:t> </w:t>
      </w:r>
      <w:r>
        <w:rPr/>
        <w:t>Associtate</w:t>
      </w:r>
      <w:r>
        <w:rPr>
          <w:spacing w:val="-9"/>
        </w:rPr>
        <w:t> </w:t>
      </w:r>
      <w:r>
        <w:rPr/>
        <w:t>Prof</w:t>
      </w:r>
      <w:r>
        <w:rPr>
          <w:spacing w:val="-9"/>
        </w:rPr>
        <w:t> </w:t>
      </w:r>
      <w:r>
        <w:rPr/>
        <w:t>Anett</w:t>
      </w:r>
      <w:r>
        <w:rPr>
          <w:spacing w:val="-8"/>
        </w:rPr>
        <w:t> </w:t>
      </w:r>
      <w:r>
        <w:rPr/>
        <w:t>Kaale</w:t>
      </w:r>
      <w:r>
        <w:rPr>
          <w:spacing w:val="-71"/>
        </w:rPr>
        <w:t> </w:t>
      </w:r>
      <w:r>
        <w:rPr/>
        <w:t>27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2021</w:t>
      </w:r>
    </w:p>
    <w:p>
      <w:pPr>
        <w:spacing w:after="0" w:line="417" w:lineRule="auto"/>
        <w:jc w:val="center"/>
        <w:sectPr>
          <w:headerReference w:type="default" r:id="rId5"/>
          <w:type w:val="continuous"/>
          <w:pgSz w:w="11910" w:h="16840"/>
          <w:pgMar w:header="678" w:footer="0" w:top="1380" w:bottom="280" w:left="1320" w:right="1320"/>
          <w:pgNumType w:start="1"/>
        </w:sectPr>
      </w:pPr>
    </w:p>
    <w:p>
      <w:pPr>
        <w:pStyle w:val="Heading1"/>
        <w:ind w:left="1000"/>
        <w:jc w:val="left"/>
      </w:pPr>
      <w:r>
        <w:rPr/>
        <w:t>A</w:t>
      </w:r>
      <w:r>
        <w:rPr>
          <w:spacing w:val="-12"/>
        </w:rPr>
        <w:t> </w:t>
      </w:r>
      <w:r>
        <w:rPr/>
        <w:t>Short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Ethics</w:t>
      </w:r>
      <w:r>
        <w:rPr>
          <w:spacing w:val="-12"/>
        </w:rPr>
        <w:t> </w:t>
      </w:r>
      <w:r>
        <w:rPr/>
        <w:t>Dilemma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417" w:lineRule="auto" w:before="1"/>
        <w:ind w:left="120" w:firstLine="720"/>
      </w:pPr>
      <w:r>
        <w:rPr/>
        <w:t>Universities in Norway use applicants’ grade point averages (GPA) as the sole</w:t>
      </w:r>
      <w:r>
        <w:rPr>
          <w:spacing w:val="1"/>
        </w:rPr>
        <w:t> </w:t>
      </w:r>
      <w:r>
        <w:rPr/>
        <w:t>admission</w:t>
      </w:r>
      <w:r>
        <w:rPr>
          <w:spacing w:val="-10"/>
        </w:rPr>
        <w:t> </w:t>
      </w:r>
      <w:r>
        <w:rPr/>
        <w:t>criterion.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fairness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GPA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repeatedly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into</w:t>
      </w:r>
      <w:r>
        <w:rPr>
          <w:spacing w:val="-70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studies</w:t>
      </w:r>
      <w:r>
        <w:rPr>
          <w:spacing w:val="-8"/>
        </w:rPr>
        <w:t> </w:t>
      </w:r>
      <w:r>
        <w:rPr/>
        <w:t>overseas</w:t>
      </w:r>
      <w:r>
        <w:rPr>
          <w:spacing w:val="-7"/>
        </w:rPr>
        <w:t> </w:t>
      </w:r>
      <w:r>
        <w:rPr/>
        <w:t>(He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8"/>
        </w:rPr>
        <w:t> </w:t>
      </w:r>
      <w:hyperlink w:history="true" w:anchor="_bookmark1">
        <w:r>
          <w:rPr>
            <w:color w:val="0000FF"/>
          </w:rPr>
          <w:t>2018</w:t>
        </w:r>
      </w:hyperlink>
      <w:r>
        <w:rPr/>
        <w:t>;</w:t>
      </w:r>
      <w:r>
        <w:rPr>
          <w:spacing w:val="-7"/>
        </w:rPr>
        <w:t> </w:t>
      </w:r>
      <w:r>
        <w:rPr/>
        <w:t>Korobko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2008</w:t>
        </w:r>
      </w:hyperlink>
      <w:r>
        <w:rPr/>
        <w:t>).</w:t>
      </w:r>
      <w:r>
        <w:rPr>
          <w:spacing w:val="15"/>
        </w:rPr>
        <w:t> </w:t>
      </w:r>
      <w:r>
        <w:rPr/>
        <w:t>Since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grades</w:t>
      </w:r>
      <w:r>
        <w:rPr>
          <w:spacing w:val="-7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thing</w:t>
      </w:r>
      <w:r>
        <w:rPr>
          <w:spacing w:val="-16"/>
        </w:rPr>
        <w:t> </w:t>
      </w:r>
      <w:r>
        <w:rPr/>
        <w:t>(Caulkins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al.,</w:t>
      </w:r>
      <w:r>
        <w:rPr>
          <w:spacing w:val="-15"/>
        </w:rPr>
        <w:t> </w:t>
      </w:r>
      <w:hyperlink w:history="true" w:anchor="_bookmark0">
        <w:r>
          <w:rPr>
            <w:color w:val="0000FF"/>
          </w:rPr>
          <w:t>1996</w:t>
        </w:r>
      </w:hyperlink>
      <w:r>
        <w:rPr/>
        <w:t>),</w:t>
      </w:r>
      <w:r>
        <w:rPr>
          <w:spacing w:val="-15"/>
        </w:rPr>
        <w:t> </w:t>
      </w:r>
      <w:r>
        <w:rPr/>
        <w:t>subjects</w:t>
      </w:r>
      <w:r>
        <w:rPr>
          <w:spacing w:val="-17"/>
        </w:rPr>
        <w:t> </w:t>
      </w:r>
      <w:r>
        <w:rPr/>
        <w:t>differ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lower</w:t>
      </w:r>
      <w:r>
        <w:rPr>
          <w:spacing w:val="-16"/>
        </w:rPr>
        <w:t> </w:t>
      </w:r>
      <w:r>
        <w:rPr/>
        <w:t>GPAs</w:t>
      </w:r>
      <w:r>
        <w:rPr>
          <w:spacing w:val="-16"/>
        </w:rPr>
        <w:t> </w:t>
      </w:r>
      <w:r>
        <w:rPr/>
        <w:t>could</w:t>
      </w:r>
      <w:r>
        <w:rPr>
          <w:spacing w:val="-70"/>
        </w:rPr>
        <w:t> </w:t>
      </w:r>
      <w:r>
        <w:rPr/>
        <w:t>reflect</w:t>
      </w:r>
      <w:r>
        <w:rPr>
          <w:spacing w:val="-11"/>
        </w:rPr>
        <w:t> </w:t>
      </w:r>
      <w:r>
        <w:rPr>
          <w:i/>
        </w:rPr>
        <w:t>either</w:t>
      </w:r>
      <w:r>
        <w:rPr>
          <w:i/>
          <w:spacing w:val="1"/>
        </w:rPr>
        <w:t> </w:t>
      </w:r>
      <w:r>
        <w:rPr/>
        <w:t>lower</w:t>
      </w:r>
      <w:r>
        <w:rPr>
          <w:spacing w:val="-11"/>
        </w:rPr>
        <w:t> </w:t>
      </w:r>
      <w:r>
        <w:rPr/>
        <w:t>competency</w:t>
      </w:r>
      <w:r>
        <w:rPr>
          <w:spacing w:val="-13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/>
        <w:t>candidates’</w:t>
      </w:r>
      <w:r>
        <w:rPr>
          <w:spacing w:val="-11"/>
        </w:rPr>
        <w:t> </w:t>
      </w:r>
      <w:r>
        <w:rPr/>
        <w:t>decisions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taking</w:t>
      </w:r>
      <w:r>
        <w:rPr>
          <w:spacing w:val="-12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stringent</w:t>
      </w:r>
      <w:r>
        <w:rPr>
          <w:spacing w:val="-71"/>
        </w:rPr>
        <w:t> </w:t>
      </w:r>
      <w:r>
        <w:rPr/>
        <w:t>grading</w:t>
      </w:r>
      <w:r>
        <w:rPr>
          <w:spacing w:val="-13"/>
        </w:rPr>
        <w:t> </w:t>
      </w:r>
      <w:r>
        <w:rPr/>
        <w:t>standards.</w:t>
      </w:r>
      <w:r>
        <w:rPr>
          <w:spacing w:val="7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tests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inter-subject</w:t>
      </w:r>
      <w:r>
        <w:rPr>
          <w:spacing w:val="-12"/>
        </w:rPr>
        <w:t> </w:t>
      </w:r>
      <w:r>
        <w:rPr/>
        <w:t>difficulties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Norway’s</w:t>
      </w:r>
      <w:r>
        <w:rPr>
          <w:spacing w:val="-13"/>
        </w:rPr>
        <w:t> </w:t>
      </w:r>
      <w:r>
        <w:rPr/>
        <w:t>GPA</w:t>
      </w:r>
      <w:r>
        <w:rPr>
          <w:spacing w:val="1"/>
        </w:rPr>
        <w:t> </w:t>
      </w:r>
      <w:r>
        <w:rPr/>
        <w:t>archival record in order to verify the existence of significant misalignment in difficulty</w:t>
      </w:r>
      <w:r>
        <w:rPr>
          <w:spacing w:val="1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restoring</w:t>
      </w:r>
      <w:r>
        <w:rPr>
          <w:spacing w:val="-7"/>
        </w:rPr>
        <w:t> </w:t>
      </w:r>
      <w:r>
        <w:rPr/>
        <w:t>cross-subject</w:t>
      </w:r>
      <w:r>
        <w:rPr>
          <w:spacing w:val="-7"/>
        </w:rPr>
        <w:t> </w:t>
      </w:r>
      <w:r>
        <w:rPr/>
        <w:t>comparability.</w:t>
      </w:r>
    </w:p>
    <w:p>
      <w:pPr>
        <w:pStyle w:val="BodyText"/>
        <w:spacing w:line="417" w:lineRule="auto"/>
        <w:ind w:left="120" w:right="88" w:firstLine="720"/>
      </w:pPr>
      <w:r>
        <w:rPr/>
        <w:t>For this study, students’ GPA records will be extracted from the Norwegian registry</w:t>
      </w:r>
      <w:r>
        <w:rPr>
          <w:spacing w:val="-71"/>
        </w:rPr>
        <w:t> </w:t>
      </w:r>
      <w:r>
        <w:rPr/>
        <w:t>covering the period between 2009 (the year “clean data” became available after the 2006</w:t>
      </w:r>
      <w:r>
        <w:rPr>
          <w:spacing w:val="1"/>
        </w:rPr>
        <w:t> </w:t>
      </w:r>
      <w:r>
        <w:rPr/>
        <w:t>reform) and 2019 (the last “normal year” before COVID). GDPR registration is lodged</w:t>
      </w:r>
      <w:r>
        <w:rPr>
          <w:spacing w:val="1"/>
        </w:rPr>
        <w:t> </w:t>
      </w:r>
      <w:r>
        <w:rPr/>
        <w:t>through the NSD Portal and the UiO ethics approval is also obtained. All data import,</w:t>
      </w:r>
      <w:r>
        <w:rPr>
          <w:spacing w:val="1"/>
        </w:rPr>
        <w:t> </w:t>
      </w:r>
      <w:r>
        <w:rPr/>
        <w:t>storage,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secured</w:t>
      </w:r>
      <w:r>
        <w:rPr>
          <w:spacing w:val="-8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TSD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70"/>
        </w:rPr>
        <w:t> </w:t>
      </w:r>
      <w:r>
        <w:rPr/>
        <w:t>the</w:t>
      </w:r>
      <w:r>
        <w:rPr>
          <w:spacing w:val="-7"/>
        </w:rPr>
        <w:t> </w:t>
      </w:r>
      <w:r>
        <w:rPr/>
        <w:t>UiO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Division.</w:t>
      </w:r>
      <w:r>
        <w:rPr>
          <w:spacing w:val="16"/>
        </w:rPr>
        <w:t> </w:t>
      </w:r>
      <w:r>
        <w:rPr/>
        <w:t>TSD</w:t>
      </w:r>
      <w:r>
        <w:rPr>
          <w:spacing w:val="-6"/>
        </w:rPr>
        <w:t> </w:t>
      </w:r>
      <w:r>
        <w:rPr/>
        <w:t>logs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copied</w:t>
      </w:r>
      <w:r>
        <w:rPr>
          <w:spacing w:val="-6"/>
        </w:rPr>
        <w:t> </w:t>
      </w:r>
      <w:r>
        <w:rPr/>
        <w:t>out</w:t>
      </w:r>
      <w:r>
        <w:rPr>
          <w:spacing w:val="-7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leaders.</w:t>
      </w:r>
    </w:p>
    <w:p>
      <w:pPr>
        <w:pStyle w:val="BodyText"/>
        <w:spacing w:line="417" w:lineRule="auto"/>
        <w:ind w:left="120" w:right="167" w:firstLine="720"/>
      </w:pPr>
      <w:r>
        <w:rPr/>
        <w:t>This project experiences the ethic dilemma concerning the re-identifiability of test</w:t>
      </w:r>
      <w:r>
        <w:rPr>
          <w:spacing w:val="1"/>
        </w:rPr>
        <w:t> </w:t>
      </w:r>
      <w:r>
        <w:rPr/>
        <w:t>subjects. Although immediate identifiers such as names, dates of birth and addresses have</w:t>
      </w:r>
      <w:r>
        <w:rPr>
          <w:spacing w:val="1"/>
        </w:rPr>
        <w:t> </w:t>
      </w:r>
      <w:r>
        <w:rPr/>
        <w:t>been</w:t>
      </w:r>
      <w:r>
        <w:rPr>
          <w:spacing w:val="-11"/>
        </w:rPr>
        <w:t> </w:t>
      </w:r>
      <w:r>
        <w:rPr/>
        <w:t>recoded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provider</w:t>
      </w:r>
      <w:r>
        <w:rPr>
          <w:spacing w:val="-10"/>
        </w:rPr>
        <w:t> </w:t>
      </w:r>
      <w:r>
        <w:rPr>
          <w:i/>
        </w:rPr>
        <w:t>Statistisk</w:t>
      </w:r>
      <w:r>
        <w:rPr>
          <w:i/>
          <w:spacing w:val="-12"/>
        </w:rPr>
        <w:t> </w:t>
      </w:r>
      <w:r>
        <w:rPr>
          <w:i/>
        </w:rPr>
        <w:t>sentralbyrå</w:t>
      </w:r>
      <w:r>
        <w:rPr/>
        <w:t>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entirely</w:t>
      </w:r>
      <w:r>
        <w:rPr>
          <w:spacing w:val="-10"/>
        </w:rPr>
        <w:t> </w:t>
      </w:r>
      <w:r>
        <w:rPr/>
        <w:t>feasible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 narrow the database down to a manageable number of entries by applying filters such as</w:t>
      </w:r>
      <w:r>
        <w:rPr>
          <w:spacing w:val="-71"/>
        </w:rPr>
        <w:t> </w:t>
      </w:r>
      <w:r>
        <w:rPr/>
        <w:t>“females,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schools,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taken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physics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advanced</w:t>
      </w:r>
      <w:r>
        <w:rPr>
          <w:spacing w:val="-13"/>
        </w:rPr>
        <w:t> </w:t>
      </w:r>
      <w:r>
        <w:rPr/>
        <w:t>mathematics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GPA,</w:t>
      </w:r>
      <w:r>
        <w:rPr>
          <w:spacing w:val="-70"/>
        </w:rPr>
        <w:t> </w:t>
      </w:r>
      <w:r>
        <w:rPr/>
        <w:t>in the year 2019”. Privacy and trust to public institutions may be undermined should</w:t>
      </w:r>
      <w:r>
        <w:rPr>
          <w:spacing w:val="1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release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de-identification.</w:t>
      </w:r>
    </w:p>
    <w:p>
      <w:pPr>
        <w:spacing w:after="0" w:line="417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right="991"/>
      </w:pPr>
      <w:bookmarkStart w:name="_bookmark0" w:id="1"/>
      <w:bookmarkEnd w:id="1"/>
      <w:r>
        <w:rPr>
          <w:b w:val="0"/>
        </w:rPr>
      </w:r>
      <w:r>
        <w:rPr/>
        <w:t>References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sz w:val="22"/>
        </w:rPr>
        <w:t>Caulkins,</w:t>
      </w:r>
      <w:r>
        <w:rPr>
          <w:spacing w:val="-15"/>
          <w:sz w:val="22"/>
        </w:rPr>
        <w:t> </w:t>
      </w:r>
      <w:r>
        <w:rPr>
          <w:sz w:val="22"/>
        </w:rPr>
        <w:t>J.</w:t>
      </w:r>
      <w:r>
        <w:rPr>
          <w:spacing w:val="-15"/>
          <w:sz w:val="22"/>
        </w:rPr>
        <w:t> </w:t>
      </w:r>
      <w:r>
        <w:rPr>
          <w:sz w:val="22"/>
        </w:rPr>
        <w:t>P.,</w:t>
      </w:r>
      <w:r>
        <w:rPr>
          <w:spacing w:val="-15"/>
          <w:sz w:val="22"/>
        </w:rPr>
        <w:t> </w:t>
      </w:r>
      <w:r>
        <w:rPr>
          <w:sz w:val="22"/>
        </w:rPr>
        <w:t>Larkey,</w:t>
      </w:r>
      <w:r>
        <w:rPr>
          <w:spacing w:val="-15"/>
          <w:sz w:val="22"/>
        </w:rPr>
        <w:t> </w:t>
      </w:r>
      <w:r>
        <w:rPr>
          <w:sz w:val="22"/>
        </w:rPr>
        <w:t>P.</w:t>
      </w:r>
      <w:r>
        <w:rPr>
          <w:spacing w:val="-15"/>
          <w:sz w:val="22"/>
        </w:rPr>
        <w:t> </w:t>
      </w:r>
      <w:r>
        <w:rPr>
          <w:sz w:val="22"/>
        </w:rPr>
        <w:t>D.,</w:t>
      </w:r>
      <w:r>
        <w:rPr>
          <w:spacing w:val="-15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Wei,</w:t>
      </w:r>
      <w:r>
        <w:rPr>
          <w:spacing w:val="-15"/>
          <w:sz w:val="22"/>
        </w:rPr>
        <w:t> </w:t>
      </w:r>
      <w:r>
        <w:rPr>
          <w:sz w:val="22"/>
        </w:rPr>
        <w:t>J.</w:t>
      </w:r>
      <w:r>
        <w:rPr>
          <w:spacing w:val="-15"/>
          <w:sz w:val="22"/>
        </w:rPr>
        <w:t> </w:t>
      </w:r>
      <w:r>
        <w:rPr>
          <w:sz w:val="22"/>
        </w:rPr>
        <w:t>(1996).</w:t>
      </w:r>
      <w:r>
        <w:rPr>
          <w:spacing w:val="-16"/>
          <w:sz w:val="22"/>
        </w:rPr>
        <w:t> </w:t>
      </w:r>
      <w:r>
        <w:rPr>
          <w:i/>
          <w:sz w:val="22"/>
        </w:rPr>
        <w:t>Adjusting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GPA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reflect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course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difficulty</w:t>
      </w:r>
      <w:r>
        <w:rPr>
          <w:sz w:val="22"/>
        </w:rPr>
        <w:t>.</w:t>
      </w:r>
    </w:p>
    <w:p>
      <w:pPr>
        <w:pStyle w:val="BodyText"/>
        <w:spacing w:before="230"/>
        <w:ind w:left="840"/>
      </w:pPr>
      <w:bookmarkStart w:name="_bookmark1" w:id="2"/>
      <w:bookmarkEnd w:id="2"/>
      <w:r>
        <w:rPr/>
      </w:r>
      <w:r>
        <w:rPr>
          <w:spacing w:val="-1"/>
        </w:rPr>
        <w:t>Carnegie</w:t>
      </w:r>
      <w:r>
        <w:rPr>
          <w:spacing w:val="-8"/>
        </w:rPr>
        <w:t> </w:t>
      </w:r>
      <w:r>
        <w:rPr>
          <w:spacing w:val="-1"/>
        </w:rPr>
        <w:t>Mellon</w:t>
      </w:r>
      <w:r>
        <w:rPr>
          <w:spacing w:val="-8"/>
        </w:rPr>
        <w:t> </w:t>
      </w:r>
      <w:r>
        <w:rPr>
          <w:spacing w:val="-1"/>
        </w:rPr>
        <w:t>University.</w:t>
      </w:r>
      <w:r>
        <w:rPr>
          <w:spacing w:val="-8"/>
        </w:rPr>
        <w:t> </w:t>
      </w:r>
      <w:hyperlink r:id="rId6">
        <w:r>
          <w:rPr>
            <w:color w:val="0000FF"/>
            <w:spacing w:val="-1"/>
          </w:rPr>
          <w:t>https://doi.org/10.1184/R1/6470981.V1</w:t>
        </w:r>
      </w:hyperlink>
    </w:p>
    <w:p>
      <w:pPr>
        <w:pStyle w:val="BodyText"/>
        <w:spacing w:line="417" w:lineRule="auto" w:before="230"/>
        <w:ind w:left="839" w:right="249" w:hanging="720"/>
      </w:pPr>
      <w:r>
        <w:rPr/>
        <w:t>He,</w:t>
      </w:r>
      <w:r>
        <w:rPr>
          <w:spacing w:val="-11"/>
        </w:rPr>
        <w:t> </w:t>
      </w:r>
      <w:r>
        <w:rPr/>
        <w:t>Q.,</w:t>
      </w:r>
      <w:r>
        <w:rPr>
          <w:spacing w:val="-10"/>
        </w:rPr>
        <w:t> </w:t>
      </w:r>
      <w:r>
        <w:rPr/>
        <w:t>Stockford,</w:t>
      </w:r>
      <w:r>
        <w:rPr>
          <w:spacing w:val="-10"/>
        </w:rPr>
        <w:t> </w:t>
      </w:r>
      <w:r>
        <w:rPr/>
        <w:t>I.,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Meadows,</w:t>
      </w:r>
      <w:r>
        <w:rPr>
          <w:spacing w:val="-10"/>
        </w:rPr>
        <w:t> </w:t>
      </w:r>
      <w:r>
        <w:rPr/>
        <w:t>M.</w:t>
      </w:r>
      <w:r>
        <w:rPr>
          <w:spacing w:val="-11"/>
        </w:rPr>
        <w:t> </w:t>
      </w:r>
      <w:r>
        <w:rPr/>
        <w:t>(2018).</w:t>
      </w:r>
      <w:r>
        <w:rPr>
          <w:spacing w:val="-10"/>
        </w:rPr>
        <w:t> </w:t>
      </w:r>
      <w:r>
        <w:rPr/>
        <w:t>Inter-subject</w:t>
      </w:r>
      <w:r>
        <w:rPr>
          <w:spacing w:val="-10"/>
        </w:rPr>
        <w:t> </w:t>
      </w:r>
      <w:r>
        <w:rPr/>
        <w:t>comparability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examination</w:t>
      </w:r>
      <w:r>
        <w:rPr>
          <w:spacing w:val="-70"/>
        </w:rPr>
        <w:t> </w:t>
      </w:r>
      <w:r>
        <w:rPr>
          <w:w w:val="95"/>
        </w:rPr>
        <w:t>standards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GCSE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GCE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England.</w:t>
      </w:r>
      <w:r>
        <w:rPr>
          <w:spacing w:val="15"/>
          <w:w w:val="95"/>
        </w:rPr>
        <w:t> </w:t>
      </w:r>
      <w:r>
        <w:rPr>
          <w:i/>
          <w:w w:val="95"/>
        </w:rPr>
        <w:t>Oxford</w:t>
      </w:r>
      <w:r>
        <w:rPr>
          <w:i/>
          <w:spacing w:val="17"/>
          <w:w w:val="95"/>
        </w:rPr>
        <w:t> </w:t>
      </w:r>
      <w:r>
        <w:rPr>
          <w:i/>
          <w:w w:val="95"/>
        </w:rPr>
        <w:t>Review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of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Education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i/>
          <w:w w:val="95"/>
        </w:rPr>
        <w:t>44</w:t>
      </w:r>
      <w:r>
        <w:rPr>
          <w:i/>
          <w:spacing w:val="-41"/>
          <w:w w:val="95"/>
        </w:rPr>
        <w:t> </w:t>
      </w:r>
      <w:r>
        <w:rPr>
          <w:w w:val="95"/>
        </w:rPr>
        <w:t>(4),</w:t>
      </w:r>
      <w:r>
        <w:rPr>
          <w:spacing w:val="1"/>
          <w:w w:val="95"/>
        </w:rPr>
        <w:t> </w:t>
      </w:r>
      <w:bookmarkStart w:name="_bookmark2" w:id="3"/>
      <w:bookmarkEnd w:id="3"/>
      <w:r>
        <w:rPr/>
        <w:t>494–513.</w:t>
      </w:r>
      <w:r>
        <w:rPr>
          <w:spacing w:val="-4"/>
        </w:rPr>
        <w:t> </w:t>
      </w:r>
      <w:hyperlink r:id="rId7">
        <w:r>
          <w:rPr>
            <w:color w:val="0000FF"/>
          </w:rPr>
          <w:t>https://doi.org/10.1080/03054985.2018.1430562</w:t>
        </w:r>
      </w:hyperlink>
    </w:p>
    <w:p>
      <w:pPr>
        <w:pStyle w:val="BodyText"/>
        <w:spacing w:line="417" w:lineRule="auto"/>
        <w:ind w:left="839" w:hanging="720"/>
      </w:pPr>
      <w:r>
        <w:rPr/>
        <w:t>Korobko, O. B., Glas, C. A. W., Bosker, R. J., &amp; Luyten, J. W. (2008). Comparing the</w:t>
      </w:r>
      <w:r>
        <w:rPr>
          <w:spacing w:val="1"/>
        </w:rPr>
        <w:t> </w:t>
      </w:r>
      <w:r>
        <w:rPr/>
        <w:t>difficulty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examination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theory.</w:t>
      </w:r>
      <w:r>
        <w:rPr>
          <w:spacing w:val="-11"/>
        </w:rPr>
        <w:t> </w:t>
      </w:r>
      <w:r>
        <w:rPr>
          <w:i/>
        </w:rPr>
        <w:t>Journal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</w:rPr>
        <w:t>Educational</w:t>
      </w:r>
      <w:r>
        <w:rPr>
          <w:i/>
          <w:spacing w:val="-76"/>
        </w:rPr>
        <w:t> </w:t>
      </w:r>
      <w:r>
        <w:rPr>
          <w:i/>
          <w:w w:val="95"/>
        </w:rPr>
        <w:t>Measurement</w:t>
      </w:r>
      <w:r>
        <w:rPr>
          <w:w w:val="95"/>
        </w:rPr>
        <w:t>,</w:t>
      </w:r>
      <w:r>
        <w:rPr>
          <w:spacing w:val="31"/>
          <w:w w:val="95"/>
        </w:rPr>
        <w:t> </w:t>
      </w:r>
      <w:r>
        <w:rPr>
          <w:i/>
          <w:w w:val="95"/>
        </w:rPr>
        <w:t>45</w:t>
      </w:r>
      <w:r>
        <w:rPr>
          <w:i/>
          <w:spacing w:val="-35"/>
          <w:w w:val="95"/>
        </w:rPr>
        <w:t> </w:t>
      </w:r>
      <w:r>
        <w:rPr>
          <w:w w:val="95"/>
        </w:rPr>
        <w:t>(2),</w:t>
      </w:r>
      <w:r>
        <w:rPr>
          <w:spacing w:val="31"/>
          <w:w w:val="95"/>
        </w:rPr>
        <w:t> </w:t>
      </w:r>
      <w:r>
        <w:rPr>
          <w:w w:val="95"/>
        </w:rPr>
        <w:t>139–157.</w:t>
      </w:r>
      <w:r>
        <w:rPr>
          <w:spacing w:val="31"/>
          <w:w w:val="95"/>
        </w:rPr>
        <w:t> </w:t>
      </w:r>
      <w:hyperlink r:id="rId8">
        <w:r>
          <w:rPr>
            <w:color w:val="0000FF"/>
            <w:w w:val="95"/>
          </w:rPr>
          <w:t>https://doi.org/10.1111/j.1745-3984.2007.00057.x</w:t>
        </w:r>
      </w:hyperlink>
    </w:p>
    <w:sectPr>
      <w:pgSz w:w="11910" w:h="16840"/>
      <w:pgMar w:header="678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moder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820984pt;margin-top:32.922459pt;width:12.5pt;height:17.5pt;mso-position-horizontal-relative:page;mso-position-vertical-relative:page;z-index:-15764992" type="#_x0000_t202" id="docshape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8"/>
      <w:ind w:left="991"/>
      <w:jc w:val="center"/>
      <w:outlineLvl w:val="1"/>
    </w:pPr>
    <w:rPr>
      <w:rFonts w:ascii="LM Roman 10" w:hAnsi="LM Roman 10" w:eastAsia="LM Roman 10" w:cs="LM Roman 10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184/R1/6470981.V1" TargetMode="External"/><Relationship Id="rId7" Type="http://schemas.openxmlformats.org/officeDocument/2006/relationships/hyperlink" Target="https://doi.org/10.1080/03054985.2018.1430562" TargetMode="External"/><Relationship Id="rId8" Type="http://schemas.openxmlformats.org/officeDocument/2006/relationships/hyperlink" Target="https://doi.org/10.1111/j.1745-3984.2007.00057.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2021-09-27T11:54:08Z</dcterms:created>
  <dcterms:modified xsi:type="dcterms:W3CDTF">2021-09-27T11:54:08Z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2021-09-27T00:00:00Z</vt:filetime>
  </property>
</Properties>
</file>