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0EC3" w14:textId="77777777" w:rsidR="00A57402" w:rsidRPr="000A2A1E" w:rsidRDefault="000A2A1E">
      <w:pPr>
        <w:pStyle w:val="Heading1"/>
        <w:spacing w:before="88"/>
        <w:ind w:left="4021" w:right="4021"/>
        <w:jc w:val="center"/>
        <w:rPr>
          <w:lang w:val="en-AU"/>
        </w:rPr>
      </w:pPr>
      <w:bookmarkStart w:id="0" w:name="Abstract"/>
      <w:bookmarkStart w:id="1" w:name="Research_Topic"/>
      <w:bookmarkEnd w:id="0"/>
      <w:bookmarkEnd w:id="1"/>
      <w:r w:rsidRPr="000A2A1E">
        <w:rPr>
          <w:lang w:val="en-AU"/>
        </w:rPr>
        <w:t>Abstract</w:t>
      </w:r>
    </w:p>
    <w:p w14:paraId="0BE91640" w14:textId="77777777" w:rsidR="00A57402" w:rsidRPr="000A2A1E" w:rsidRDefault="000A2A1E">
      <w:pPr>
        <w:spacing w:before="188"/>
        <w:ind w:left="120"/>
        <w:rPr>
          <w:b/>
          <w:lang w:val="en-AU"/>
        </w:rPr>
      </w:pPr>
      <w:r w:rsidRPr="000A2A1E">
        <w:rPr>
          <w:b/>
          <w:spacing w:val="-1"/>
          <w:lang w:val="en-AU"/>
        </w:rPr>
        <w:t>Research</w:t>
      </w:r>
      <w:r w:rsidRPr="000A2A1E">
        <w:rPr>
          <w:b/>
          <w:spacing w:val="-20"/>
          <w:lang w:val="en-AU"/>
        </w:rPr>
        <w:t xml:space="preserve"> </w:t>
      </w:r>
      <w:r w:rsidRPr="000A2A1E">
        <w:rPr>
          <w:b/>
          <w:spacing w:val="-1"/>
          <w:lang w:val="en-AU"/>
        </w:rPr>
        <w:t>Topic</w:t>
      </w:r>
    </w:p>
    <w:p w14:paraId="08074CB3" w14:textId="77777777" w:rsidR="00A57402" w:rsidRPr="000A2A1E" w:rsidRDefault="000A2A1E">
      <w:pPr>
        <w:pStyle w:val="BodyText"/>
        <w:spacing w:before="190" w:line="345" w:lineRule="auto"/>
        <w:ind w:left="119" w:right="95" w:firstLine="720"/>
        <w:rPr>
          <w:lang w:val="en-AU"/>
        </w:rPr>
      </w:pPr>
      <w:r w:rsidRPr="000A2A1E">
        <w:rPr>
          <w:lang w:val="en-AU"/>
        </w:rPr>
        <w:t>The</w:t>
      </w:r>
      <w:r w:rsidRPr="000A2A1E">
        <w:rPr>
          <w:spacing w:val="-16"/>
          <w:lang w:val="en-AU"/>
        </w:rPr>
        <w:t xml:space="preserve"> </w:t>
      </w:r>
      <w:r w:rsidRPr="000A2A1E">
        <w:rPr>
          <w:lang w:val="en-AU"/>
        </w:rPr>
        <w:t>Grade</w:t>
      </w:r>
      <w:r w:rsidRPr="000A2A1E">
        <w:rPr>
          <w:spacing w:val="-15"/>
          <w:lang w:val="en-AU"/>
        </w:rPr>
        <w:t xml:space="preserve"> </w:t>
      </w:r>
      <w:r w:rsidRPr="000A2A1E">
        <w:rPr>
          <w:lang w:val="en-AU"/>
        </w:rPr>
        <w:t>Point</w:t>
      </w:r>
      <w:r w:rsidRPr="000A2A1E">
        <w:rPr>
          <w:spacing w:val="-16"/>
          <w:lang w:val="en-AU"/>
        </w:rPr>
        <w:t xml:space="preserve"> </w:t>
      </w:r>
      <w:r w:rsidRPr="000A2A1E">
        <w:rPr>
          <w:lang w:val="en-AU"/>
        </w:rPr>
        <w:t>Average</w:t>
      </w:r>
      <w:r w:rsidRPr="000A2A1E">
        <w:rPr>
          <w:spacing w:val="-15"/>
          <w:lang w:val="en-AU"/>
        </w:rPr>
        <w:t xml:space="preserve"> </w:t>
      </w:r>
      <w:r w:rsidRPr="000A2A1E">
        <w:rPr>
          <w:lang w:val="en-AU"/>
        </w:rPr>
        <w:t>(GPA,</w:t>
      </w:r>
      <w:r w:rsidRPr="000A2A1E">
        <w:rPr>
          <w:spacing w:val="-16"/>
          <w:lang w:val="en-AU"/>
        </w:rPr>
        <w:t xml:space="preserve"> </w:t>
      </w:r>
      <w:r w:rsidRPr="000A2A1E">
        <w:rPr>
          <w:i/>
          <w:lang w:val="en-AU"/>
        </w:rPr>
        <w:t>skolepoeng</w:t>
      </w:r>
      <w:r w:rsidRPr="000A2A1E">
        <w:rPr>
          <w:i/>
          <w:spacing w:val="-11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16"/>
          <w:lang w:val="en-AU"/>
        </w:rPr>
        <w:t xml:space="preserve"> </w:t>
      </w:r>
      <w:r w:rsidRPr="000A2A1E">
        <w:rPr>
          <w:lang w:val="en-AU"/>
        </w:rPr>
        <w:t>Norwegian)</w:t>
      </w:r>
      <w:r w:rsidRPr="000A2A1E">
        <w:rPr>
          <w:spacing w:val="-15"/>
          <w:lang w:val="en-AU"/>
        </w:rPr>
        <w:t xml:space="preserve"> </w:t>
      </w:r>
      <w:r w:rsidRPr="000A2A1E">
        <w:rPr>
          <w:lang w:val="en-AU"/>
        </w:rPr>
        <w:t>plays</w:t>
      </w:r>
      <w:r w:rsidRPr="000A2A1E">
        <w:rPr>
          <w:spacing w:val="-15"/>
          <w:lang w:val="en-AU"/>
        </w:rPr>
        <w:t xml:space="preserve"> </w:t>
      </w:r>
      <w:r w:rsidRPr="000A2A1E">
        <w:rPr>
          <w:lang w:val="en-AU"/>
        </w:rPr>
        <w:t>a</w:t>
      </w:r>
      <w:r w:rsidRPr="000A2A1E">
        <w:rPr>
          <w:spacing w:val="-16"/>
          <w:lang w:val="en-AU"/>
        </w:rPr>
        <w:t xml:space="preserve"> </w:t>
      </w:r>
      <w:r w:rsidRPr="000A2A1E">
        <w:rPr>
          <w:lang w:val="en-AU"/>
        </w:rPr>
        <w:t>determining</w:t>
      </w:r>
      <w:r w:rsidRPr="000A2A1E">
        <w:rPr>
          <w:spacing w:val="-15"/>
          <w:lang w:val="en-AU"/>
        </w:rPr>
        <w:t xml:space="preserve"> </w:t>
      </w:r>
      <w:r w:rsidRPr="000A2A1E">
        <w:rPr>
          <w:lang w:val="en-AU"/>
        </w:rPr>
        <w:t>role</w:t>
      </w:r>
      <w:r w:rsidRPr="000A2A1E">
        <w:rPr>
          <w:spacing w:val="-15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Norway’s tertiary admission process. The academic track in Norwegian upper secondary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education offers students a set of compulsory joint core subjects as well as a wide range of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elective subjects for different specialisations. Since different elective subj</w:t>
      </w:r>
      <w:r w:rsidRPr="000A2A1E">
        <w:rPr>
          <w:lang w:val="en-AU"/>
        </w:rPr>
        <w:t>ects are treated</w:t>
      </w:r>
      <w:r w:rsidRPr="000A2A1E">
        <w:rPr>
          <w:spacing w:val="1"/>
          <w:lang w:val="en-AU"/>
        </w:rPr>
        <w:t xml:space="preserve"> </w:t>
      </w:r>
      <w:r w:rsidRPr="000A2A1E">
        <w:rPr>
          <w:i/>
          <w:lang w:val="en-AU"/>
        </w:rPr>
        <w:t xml:space="preserve">equally </w:t>
      </w:r>
      <w:r w:rsidRPr="000A2A1E">
        <w:rPr>
          <w:lang w:val="en-AU"/>
        </w:rPr>
        <w:t>in GPA calculations, GPA implicitly assumes that grades across different specialised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 xml:space="preserve">subjects are </w:t>
      </w:r>
      <w:r w:rsidRPr="000A2A1E">
        <w:rPr>
          <w:i/>
          <w:lang w:val="en-AU"/>
        </w:rPr>
        <w:t xml:space="preserve">equivalent </w:t>
      </w:r>
      <w:r w:rsidRPr="000A2A1E">
        <w:rPr>
          <w:lang w:val="en-AU"/>
        </w:rPr>
        <w:t>indicators of students’ preparedness for higher education—an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assumption that remains untested and questioned by descriptiv</w:t>
      </w:r>
      <w:r w:rsidRPr="000A2A1E">
        <w:rPr>
          <w:lang w:val="en-AU"/>
        </w:rPr>
        <w:t>e statistics (Norwegian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 xml:space="preserve">Ministry of Education, </w:t>
      </w:r>
      <w:hyperlink w:anchor="_bookmark8" w:history="1">
        <w:r w:rsidRPr="000A2A1E">
          <w:rPr>
            <w:color w:val="0000FF"/>
            <w:lang w:val="en-AU"/>
          </w:rPr>
          <w:t>2022</w:t>
        </w:r>
      </w:hyperlink>
      <w:r w:rsidRPr="000A2A1E">
        <w:rPr>
          <w:lang w:val="en-AU"/>
        </w:rPr>
        <w:t>). The current study is part of a larger project examining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Norwegian administrative grade data using item response theory (IRT). Specifically, this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paper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focuses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on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the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compar</w:t>
      </w:r>
      <w:r w:rsidRPr="000A2A1E">
        <w:rPr>
          <w:lang w:val="en-AU"/>
        </w:rPr>
        <w:t>ability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of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difficulty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levels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across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subjects,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and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thus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provides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a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test</w:t>
      </w:r>
      <w:r w:rsidRPr="000A2A1E">
        <w:rPr>
          <w:spacing w:val="-70"/>
          <w:lang w:val="en-AU"/>
        </w:rPr>
        <w:t xml:space="preserve"> </w:t>
      </w:r>
      <w:bookmarkStart w:id="2" w:name="Theoretical_Framework"/>
      <w:bookmarkEnd w:id="2"/>
      <w:r w:rsidRPr="000A2A1E">
        <w:rPr>
          <w:lang w:val="en-AU"/>
        </w:rPr>
        <w:t>of</w:t>
      </w:r>
      <w:r w:rsidRPr="000A2A1E">
        <w:rPr>
          <w:spacing w:val="-4"/>
          <w:lang w:val="en-AU"/>
        </w:rPr>
        <w:t xml:space="preserve"> </w:t>
      </w:r>
      <w:r w:rsidRPr="000A2A1E">
        <w:rPr>
          <w:lang w:val="en-AU"/>
        </w:rPr>
        <w:t>the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hidden</w:t>
      </w:r>
      <w:r w:rsidRPr="000A2A1E">
        <w:rPr>
          <w:spacing w:val="-4"/>
          <w:lang w:val="en-AU"/>
        </w:rPr>
        <w:t xml:space="preserve"> </w:t>
      </w:r>
      <w:r w:rsidRPr="000A2A1E">
        <w:rPr>
          <w:lang w:val="en-AU"/>
        </w:rPr>
        <w:t>assumption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4"/>
          <w:lang w:val="en-AU"/>
        </w:rPr>
        <w:t xml:space="preserve"> </w:t>
      </w:r>
      <w:r w:rsidRPr="000A2A1E">
        <w:rPr>
          <w:lang w:val="en-AU"/>
        </w:rPr>
        <w:t>the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current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procedure</w:t>
      </w:r>
      <w:r w:rsidRPr="000A2A1E">
        <w:rPr>
          <w:spacing w:val="-4"/>
          <w:lang w:val="en-AU"/>
        </w:rPr>
        <w:t xml:space="preserve"> </w:t>
      </w:r>
      <w:r w:rsidRPr="000A2A1E">
        <w:rPr>
          <w:lang w:val="en-AU"/>
        </w:rPr>
        <w:t>for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producing</w:t>
      </w:r>
      <w:r w:rsidRPr="000A2A1E">
        <w:rPr>
          <w:spacing w:val="-4"/>
          <w:lang w:val="en-AU"/>
        </w:rPr>
        <w:t xml:space="preserve"> </w:t>
      </w:r>
      <w:r w:rsidRPr="000A2A1E">
        <w:rPr>
          <w:lang w:val="en-AU"/>
        </w:rPr>
        <w:t>the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GPA.</w:t>
      </w:r>
    </w:p>
    <w:p w14:paraId="1B163264" w14:textId="77777777" w:rsidR="00A57402" w:rsidRPr="000A2A1E" w:rsidRDefault="000A2A1E">
      <w:pPr>
        <w:pStyle w:val="Heading1"/>
        <w:spacing w:before="48"/>
        <w:ind w:left="119"/>
        <w:rPr>
          <w:lang w:val="en-AU"/>
        </w:rPr>
      </w:pPr>
      <w:r w:rsidRPr="000A2A1E">
        <w:rPr>
          <w:spacing w:val="-1"/>
          <w:lang w:val="en-AU"/>
        </w:rPr>
        <w:t>Theoretical</w:t>
      </w:r>
      <w:r w:rsidRPr="000A2A1E">
        <w:rPr>
          <w:spacing w:val="-19"/>
          <w:lang w:val="en-AU"/>
        </w:rPr>
        <w:t xml:space="preserve"> </w:t>
      </w:r>
      <w:r w:rsidRPr="000A2A1E">
        <w:rPr>
          <w:spacing w:val="-1"/>
          <w:lang w:val="en-AU"/>
        </w:rPr>
        <w:t>Framework</w:t>
      </w:r>
    </w:p>
    <w:p w14:paraId="3D97E51E" w14:textId="77777777" w:rsidR="00A57402" w:rsidRPr="000A2A1E" w:rsidRDefault="000A2A1E">
      <w:pPr>
        <w:pStyle w:val="BodyText"/>
        <w:spacing w:before="190" w:line="345" w:lineRule="auto"/>
        <w:ind w:left="119" w:firstLine="720"/>
        <w:rPr>
          <w:lang w:val="en-AU"/>
        </w:rPr>
      </w:pPr>
      <w:r w:rsidRPr="000A2A1E">
        <w:rPr>
          <w:lang w:val="en-AU"/>
        </w:rPr>
        <w:t>Fairness is both an essential and an elusive integral of educational assessment.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Following Gipps and Stobart’s (</w:t>
      </w:r>
      <w:hyperlink w:anchor="_bookmark1" w:history="1">
        <w:r w:rsidRPr="000A2A1E">
          <w:rPr>
            <w:color w:val="0000FF"/>
            <w:lang w:val="en-AU"/>
          </w:rPr>
          <w:t>2009</w:t>
        </w:r>
      </w:hyperlink>
      <w:r w:rsidRPr="000A2A1E">
        <w:rPr>
          <w:lang w:val="en-AU"/>
        </w:rPr>
        <w:t>) social-cultural framing of assessment fairness and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Tierny’s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(</w:t>
      </w:r>
      <w:hyperlink w:anchor="_bookmark9" w:history="1">
        <w:r w:rsidRPr="000A2A1E">
          <w:rPr>
            <w:color w:val="0000FF"/>
            <w:lang w:val="en-AU"/>
          </w:rPr>
          <w:t>2017</w:t>
        </w:r>
      </w:hyperlink>
      <w:r w:rsidRPr="000A2A1E">
        <w:rPr>
          <w:lang w:val="en-AU"/>
        </w:rPr>
        <w:t>)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democratic–</w:t>
      </w:r>
      <w:r w:rsidRPr="000A2A1E">
        <w:rPr>
          <w:lang w:val="en-AU"/>
        </w:rPr>
        <w:t>measurement–pedagogical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construction,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the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current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study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models</w:t>
      </w:r>
      <w:r w:rsidRPr="000A2A1E">
        <w:rPr>
          <w:spacing w:val="-71"/>
          <w:lang w:val="en-AU"/>
        </w:rPr>
        <w:t xml:space="preserve"> </w:t>
      </w:r>
      <w:r w:rsidRPr="000A2A1E">
        <w:rPr>
          <w:lang w:val="en-AU"/>
        </w:rPr>
        <w:t xml:space="preserve">GPA as a </w:t>
      </w:r>
      <w:r w:rsidRPr="000A2A1E">
        <w:rPr>
          <w:i/>
          <w:lang w:val="en-AU"/>
        </w:rPr>
        <w:t xml:space="preserve">selection </w:t>
      </w:r>
      <w:r w:rsidRPr="000A2A1E">
        <w:rPr>
          <w:lang w:val="en-AU"/>
        </w:rPr>
        <w:t xml:space="preserve">device (Kane, </w:t>
      </w:r>
      <w:hyperlink w:anchor="_bookmark4" w:history="1">
        <w:r w:rsidRPr="000A2A1E">
          <w:rPr>
            <w:color w:val="0000FF"/>
            <w:lang w:val="en-AU"/>
          </w:rPr>
          <w:t>2013</w:t>
        </w:r>
      </w:hyperlink>
      <w:r w:rsidRPr="000A2A1E">
        <w:rPr>
          <w:lang w:val="en-AU"/>
        </w:rPr>
        <w:t>) for accessing privileged social resources (Bourdieu,</w:t>
      </w:r>
      <w:r w:rsidRPr="000A2A1E">
        <w:rPr>
          <w:spacing w:val="1"/>
          <w:lang w:val="en-AU"/>
        </w:rPr>
        <w:t xml:space="preserve"> </w:t>
      </w:r>
      <w:hyperlink w:anchor="_bookmark0" w:history="1">
        <w:r w:rsidRPr="000A2A1E">
          <w:rPr>
            <w:color w:val="0000FF"/>
            <w:lang w:val="en-AU"/>
          </w:rPr>
          <w:t>1973</w:t>
        </w:r>
      </w:hyperlink>
      <w:r w:rsidRPr="000A2A1E">
        <w:rPr>
          <w:lang w:val="en-AU"/>
        </w:rPr>
        <w:t>). It addresses the construct validit</w:t>
      </w:r>
      <w:r w:rsidRPr="000A2A1E">
        <w:rPr>
          <w:lang w:val="en-AU"/>
        </w:rPr>
        <w:t>y of GPAs by examining any construct-irrelevant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variance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(Messick,</w:t>
      </w:r>
      <w:r w:rsidRPr="000A2A1E">
        <w:rPr>
          <w:spacing w:val="-12"/>
          <w:lang w:val="en-AU"/>
        </w:rPr>
        <w:t xml:space="preserve"> </w:t>
      </w:r>
      <w:hyperlink w:anchor="_bookmark6" w:history="1">
        <w:r w:rsidRPr="000A2A1E">
          <w:rPr>
            <w:color w:val="0000FF"/>
            <w:lang w:val="en-AU"/>
          </w:rPr>
          <w:t>1989</w:t>
        </w:r>
      </w:hyperlink>
      <w:r w:rsidRPr="000A2A1E">
        <w:rPr>
          <w:lang w:val="en-AU"/>
        </w:rPr>
        <w:t>),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where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grading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serves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as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a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decontextualised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measurement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procedure</w:t>
      </w:r>
      <w:r w:rsidRPr="000A2A1E">
        <w:rPr>
          <w:spacing w:val="1"/>
          <w:lang w:val="en-AU"/>
        </w:rPr>
        <w:t xml:space="preserve"> </w:t>
      </w:r>
      <w:bookmarkStart w:id="3" w:name="Methodology"/>
      <w:bookmarkEnd w:id="3"/>
      <w:r w:rsidRPr="000A2A1E">
        <w:rPr>
          <w:lang w:val="en-AU"/>
        </w:rPr>
        <w:t>(Kalthoff,</w:t>
      </w:r>
      <w:r w:rsidRPr="000A2A1E">
        <w:rPr>
          <w:spacing w:val="-7"/>
          <w:lang w:val="en-AU"/>
        </w:rPr>
        <w:t xml:space="preserve"> </w:t>
      </w:r>
      <w:hyperlink w:anchor="_bookmark3" w:history="1">
        <w:r w:rsidRPr="000A2A1E">
          <w:rPr>
            <w:color w:val="0000FF"/>
            <w:lang w:val="en-AU"/>
          </w:rPr>
          <w:t>2013</w:t>
        </w:r>
      </w:hyperlink>
      <w:r w:rsidRPr="000A2A1E">
        <w:rPr>
          <w:lang w:val="en-AU"/>
        </w:rPr>
        <w:t>)</w:t>
      </w:r>
      <w:r w:rsidRPr="000A2A1E">
        <w:rPr>
          <w:spacing w:val="-6"/>
          <w:lang w:val="en-AU"/>
        </w:rPr>
        <w:t xml:space="preserve"> </w:t>
      </w:r>
      <w:r w:rsidRPr="000A2A1E">
        <w:rPr>
          <w:lang w:val="en-AU"/>
        </w:rPr>
        <w:t>that</w:t>
      </w:r>
      <w:r w:rsidRPr="000A2A1E">
        <w:rPr>
          <w:spacing w:val="-6"/>
          <w:lang w:val="en-AU"/>
        </w:rPr>
        <w:t xml:space="preserve"> </w:t>
      </w:r>
      <w:r w:rsidRPr="000A2A1E">
        <w:rPr>
          <w:lang w:val="en-AU"/>
        </w:rPr>
        <w:t>yields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identical</w:t>
      </w:r>
      <w:r w:rsidRPr="000A2A1E">
        <w:rPr>
          <w:spacing w:val="-6"/>
          <w:lang w:val="en-AU"/>
        </w:rPr>
        <w:t xml:space="preserve"> </w:t>
      </w:r>
      <w:r w:rsidRPr="000A2A1E">
        <w:rPr>
          <w:lang w:val="en-AU"/>
        </w:rPr>
        <w:t>results</w:t>
      </w:r>
      <w:r w:rsidRPr="000A2A1E">
        <w:rPr>
          <w:spacing w:val="-6"/>
          <w:lang w:val="en-AU"/>
        </w:rPr>
        <w:t xml:space="preserve"> </w:t>
      </w:r>
      <w:r w:rsidRPr="000A2A1E">
        <w:rPr>
          <w:lang w:val="en-AU"/>
        </w:rPr>
        <w:t>under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interchangeable</w:t>
      </w:r>
      <w:r w:rsidRPr="000A2A1E">
        <w:rPr>
          <w:spacing w:val="-6"/>
          <w:lang w:val="en-AU"/>
        </w:rPr>
        <w:t xml:space="preserve"> </w:t>
      </w:r>
      <w:r w:rsidRPr="000A2A1E">
        <w:rPr>
          <w:lang w:val="en-AU"/>
        </w:rPr>
        <w:t>instruments</w:t>
      </w:r>
      <w:r w:rsidRPr="000A2A1E">
        <w:rPr>
          <w:spacing w:val="-6"/>
          <w:lang w:val="en-AU"/>
        </w:rPr>
        <w:t xml:space="preserve"> </w:t>
      </w:r>
      <w:r w:rsidRPr="000A2A1E">
        <w:rPr>
          <w:lang w:val="en-AU"/>
        </w:rPr>
        <w:t>.</w:t>
      </w:r>
    </w:p>
    <w:p w14:paraId="073D91FC" w14:textId="77777777" w:rsidR="00A57402" w:rsidRPr="000A2A1E" w:rsidRDefault="000A2A1E">
      <w:pPr>
        <w:pStyle w:val="Heading1"/>
        <w:ind w:left="119"/>
        <w:rPr>
          <w:lang w:val="en-AU"/>
        </w:rPr>
      </w:pPr>
      <w:r w:rsidRPr="000A2A1E">
        <w:rPr>
          <w:lang w:val="en-AU"/>
        </w:rPr>
        <w:t>Methodology</w:t>
      </w:r>
    </w:p>
    <w:p w14:paraId="60161B1B" w14:textId="77777777" w:rsidR="00A57402" w:rsidRPr="000A2A1E" w:rsidRDefault="000A2A1E">
      <w:pPr>
        <w:pStyle w:val="BodyText"/>
        <w:spacing w:before="190" w:line="345" w:lineRule="auto"/>
        <w:ind w:left="119" w:firstLine="720"/>
        <w:rPr>
          <w:lang w:val="en-AU"/>
        </w:rPr>
      </w:pPr>
      <w:r w:rsidRPr="000A2A1E">
        <w:rPr>
          <w:lang w:val="en-AU"/>
        </w:rPr>
        <w:t>IRT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is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particularly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suitable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for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extracting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item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difficulty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information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order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to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study</w:t>
      </w:r>
      <w:r w:rsidRPr="000A2A1E">
        <w:rPr>
          <w:spacing w:val="-70"/>
          <w:lang w:val="en-AU"/>
        </w:rPr>
        <w:t xml:space="preserve"> </w:t>
      </w:r>
      <w:r w:rsidRPr="000A2A1E">
        <w:rPr>
          <w:lang w:val="en-AU"/>
        </w:rPr>
        <w:t>assessment’s selection fairness. This study considers each GPA subject as an item and each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candidate as a person. Using marg</w:t>
      </w:r>
      <w:r w:rsidRPr="000A2A1E">
        <w:rPr>
          <w:lang w:val="en-AU"/>
        </w:rPr>
        <w:t>inal maximum likelihood (MML) estimation, the analyses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will ascertain difficulty parameters for all major subjects in Norwegian upper secondary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schools. Registry data containing Norwegian students’ GPA performance in 2019 are first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regularised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by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removing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subjects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with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fewer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than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1,000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candidates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(as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practised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by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He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et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al.,</w:t>
      </w:r>
      <w:r w:rsidRPr="000A2A1E">
        <w:rPr>
          <w:spacing w:val="1"/>
          <w:lang w:val="en-AU"/>
        </w:rPr>
        <w:t xml:space="preserve"> </w:t>
      </w:r>
      <w:hyperlink w:anchor="_bookmark2" w:history="1">
        <w:r w:rsidRPr="000A2A1E">
          <w:rPr>
            <w:color w:val="0000FF"/>
            <w:lang w:val="en-AU"/>
          </w:rPr>
          <w:t>2018</w:t>
        </w:r>
      </w:hyperlink>
      <w:r w:rsidRPr="000A2A1E">
        <w:rPr>
          <w:lang w:val="en-AU"/>
        </w:rPr>
        <w:t>) and by only including candidates who have received valid GPAs through upper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secondary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school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completions.</w:t>
      </w:r>
      <w:r w:rsidRPr="000A2A1E">
        <w:rPr>
          <w:spacing w:val="15"/>
          <w:lang w:val="en-AU"/>
        </w:rPr>
        <w:t xml:space="preserve"> </w:t>
      </w:r>
      <w:r w:rsidRPr="000A2A1E">
        <w:rPr>
          <w:lang w:val="en-AU"/>
        </w:rPr>
        <w:t>Next,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subject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difficulty</w:t>
      </w:r>
      <w:r w:rsidRPr="000A2A1E">
        <w:rPr>
          <w:spacing w:val="-6"/>
          <w:lang w:val="en-AU"/>
        </w:rPr>
        <w:t xml:space="preserve"> </w:t>
      </w:r>
      <w:r w:rsidRPr="000A2A1E">
        <w:rPr>
          <w:lang w:val="en-AU"/>
        </w:rPr>
        <w:t>parameters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will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be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extracted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using</w:t>
      </w:r>
    </w:p>
    <w:p w14:paraId="4B1ABB3E" w14:textId="77777777" w:rsidR="00A57402" w:rsidRPr="000A2A1E" w:rsidRDefault="00A57402">
      <w:pPr>
        <w:spacing w:line="345" w:lineRule="auto"/>
        <w:rPr>
          <w:lang w:val="en-AU"/>
        </w:rPr>
        <w:sectPr w:rsidR="00A57402" w:rsidRPr="000A2A1E">
          <w:headerReference w:type="default" r:id="rId6"/>
          <w:type w:val="continuous"/>
          <w:pgSz w:w="11910" w:h="16840"/>
          <w:pgMar w:top="1380" w:right="1320" w:bottom="280" w:left="1320" w:header="678" w:footer="0" w:gutter="0"/>
          <w:pgNumType w:start="2"/>
          <w:cols w:space="720"/>
        </w:sectPr>
      </w:pPr>
    </w:p>
    <w:p w14:paraId="5B8E0A98" w14:textId="77777777" w:rsidR="00A57402" w:rsidRPr="000A2A1E" w:rsidRDefault="000A2A1E">
      <w:pPr>
        <w:pStyle w:val="BodyText"/>
        <w:spacing w:before="89" w:line="345" w:lineRule="auto"/>
        <w:rPr>
          <w:lang w:val="en-AU"/>
        </w:rPr>
      </w:pPr>
      <w:r w:rsidRPr="000A2A1E">
        <w:rPr>
          <w:lang w:val="en-AU"/>
        </w:rPr>
        <w:lastRenderedPageBreak/>
        <w:t>generalised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partial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credit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models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(GPCM,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Muraki,</w:t>
      </w:r>
      <w:r w:rsidRPr="000A2A1E">
        <w:rPr>
          <w:spacing w:val="-11"/>
          <w:lang w:val="en-AU"/>
        </w:rPr>
        <w:t xml:space="preserve"> </w:t>
      </w:r>
      <w:hyperlink w:anchor="_bookmark7" w:history="1">
        <w:r w:rsidRPr="000A2A1E">
          <w:rPr>
            <w:color w:val="0000FF"/>
            <w:lang w:val="en-AU"/>
          </w:rPr>
          <w:t>1992</w:t>
        </w:r>
      </w:hyperlink>
      <w:r w:rsidRPr="000A2A1E">
        <w:rPr>
          <w:lang w:val="en-AU"/>
        </w:rPr>
        <w:t>).</w:t>
      </w:r>
      <w:r w:rsidRPr="000A2A1E">
        <w:rPr>
          <w:spacing w:val="8"/>
          <w:lang w:val="en-AU"/>
        </w:rPr>
        <w:t xml:space="preserve"> </w:t>
      </w:r>
      <w:r w:rsidRPr="000A2A1E">
        <w:rPr>
          <w:lang w:val="en-AU"/>
        </w:rPr>
        <w:t>Lastly,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group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invariance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tests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are</w:t>
      </w:r>
      <w:r w:rsidRPr="000A2A1E">
        <w:rPr>
          <w:spacing w:val="-70"/>
          <w:lang w:val="en-AU"/>
        </w:rPr>
        <w:t xml:space="preserve"> </w:t>
      </w:r>
      <w:r w:rsidRPr="000A2A1E">
        <w:rPr>
          <w:lang w:val="en-AU"/>
        </w:rPr>
        <w:t>applied to assess the extent to which selection bias had impacted on subject difficulty</w:t>
      </w:r>
      <w:r w:rsidRPr="000A2A1E">
        <w:rPr>
          <w:spacing w:val="1"/>
          <w:lang w:val="en-AU"/>
        </w:rPr>
        <w:t xml:space="preserve"> </w:t>
      </w:r>
      <w:bookmarkStart w:id="4" w:name="Expected_Results"/>
      <w:bookmarkEnd w:id="4"/>
      <w:r w:rsidRPr="000A2A1E">
        <w:rPr>
          <w:lang w:val="en-AU"/>
        </w:rPr>
        <w:t>parameter</w:t>
      </w:r>
      <w:r w:rsidRPr="000A2A1E">
        <w:rPr>
          <w:spacing w:val="-2"/>
          <w:lang w:val="en-AU"/>
        </w:rPr>
        <w:t xml:space="preserve"> </w:t>
      </w:r>
      <w:r w:rsidRPr="000A2A1E">
        <w:rPr>
          <w:lang w:val="en-AU"/>
        </w:rPr>
        <w:t>estimates.</w:t>
      </w:r>
    </w:p>
    <w:p w14:paraId="73395796" w14:textId="77777777" w:rsidR="00A57402" w:rsidRPr="000A2A1E" w:rsidRDefault="000A2A1E">
      <w:pPr>
        <w:pStyle w:val="Heading1"/>
        <w:spacing w:before="52"/>
        <w:rPr>
          <w:lang w:val="en-AU"/>
        </w:rPr>
      </w:pPr>
      <w:r w:rsidRPr="000A2A1E">
        <w:rPr>
          <w:lang w:val="en-AU"/>
        </w:rPr>
        <w:t>Expected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Results</w:t>
      </w:r>
    </w:p>
    <w:p w14:paraId="79E204AF" w14:textId="77777777" w:rsidR="00A57402" w:rsidRPr="000A2A1E" w:rsidRDefault="000A2A1E">
      <w:pPr>
        <w:pStyle w:val="BodyText"/>
        <w:spacing w:before="189" w:line="345" w:lineRule="auto"/>
        <w:ind w:right="95" w:firstLine="720"/>
        <w:rPr>
          <w:lang w:val="en-AU"/>
        </w:rPr>
      </w:pPr>
      <w:r w:rsidRPr="000A2A1E">
        <w:rPr>
          <w:lang w:val="en-AU"/>
        </w:rPr>
        <w:t>The registry data set will be available for analysis in short time and the described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analyses will be presented and discussed at t</w:t>
      </w:r>
      <w:r w:rsidRPr="000A2A1E">
        <w:rPr>
          <w:lang w:val="en-AU"/>
        </w:rPr>
        <w:t>he conference. Given that university entries in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Europe</w:t>
      </w:r>
      <w:r w:rsidRPr="000A2A1E">
        <w:rPr>
          <w:spacing w:val="-15"/>
          <w:lang w:val="en-AU"/>
        </w:rPr>
        <w:t xml:space="preserve"> </w:t>
      </w:r>
      <w:r w:rsidRPr="000A2A1E">
        <w:rPr>
          <w:lang w:val="en-AU"/>
        </w:rPr>
        <w:t>is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largely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based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on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the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final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grades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from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secondary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education,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Norway’s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GPA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system</w:t>
      </w:r>
      <w:r w:rsidRPr="000A2A1E">
        <w:rPr>
          <w:spacing w:val="-14"/>
          <w:lang w:val="en-AU"/>
        </w:rPr>
        <w:t xml:space="preserve"> </w:t>
      </w:r>
      <w:r w:rsidRPr="000A2A1E">
        <w:rPr>
          <w:lang w:val="en-AU"/>
        </w:rPr>
        <w:t>is</w:t>
      </w:r>
      <w:r w:rsidRPr="000A2A1E">
        <w:rPr>
          <w:spacing w:val="-70"/>
          <w:lang w:val="en-AU"/>
        </w:rPr>
        <w:t xml:space="preserve"> </w:t>
      </w:r>
      <w:r w:rsidRPr="000A2A1E">
        <w:rPr>
          <w:lang w:val="en-AU"/>
        </w:rPr>
        <w:t>expected to be comparable to its counterpart in the UK and the Netherlands. More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specifically,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we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expect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Norway’s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G</w:t>
      </w:r>
      <w:r w:rsidRPr="000A2A1E">
        <w:rPr>
          <w:lang w:val="en-AU"/>
        </w:rPr>
        <w:t>PA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subjects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to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differ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difficulties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(per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report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by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He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et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al.,</w:t>
      </w:r>
      <w:r w:rsidRPr="000A2A1E">
        <w:rPr>
          <w:spacing w:val="1"/>
          <w:lang w:val="en-AU"/>
        </w:rPr>
        <w:t xml:space="preserve"> </w:t>
      </w:r>
      <w:hyperlink w:anchor="_bookmark2" w:history="1">
        <w:r w:rsidRPr="000A2A1E">
          <w:rPr>
            <w:color w:val="0000FF"/>
            <w:lang w:val="en-AU"/>
          </w:rPr>
          <w:t>2018</w:t>
        </w:r>
      </w:hyperlink>
      <w:r w:rsidRPr="000A2A1E">
        <w:rPr>
          <w:lang w:val="en-AU"/>
        </w:rPr>
        <w:t xml:space="preserve">) and to exhibit significant selection effect (as demonstrated in Korobko et al., </w:t>
      </w:r>
      <w:hyperlink w:anchor="_bookmark5" w:history="1">
        <w:r w:rsidRPr="000A2A1E">
          <w:rPr>
            <w:color w:val="0000FF"/>
            <w:lang w:val="en-AU"/>
          </w:rPr>
          <w:t>2008</w:t>
        </w:r>
      </w:hyperlink>
      <w:r w:rsidRPr="000A2A1E">
        <w:rPr>
          <w:lang w:val="en-AU"/>
        </w:rPr>
        <w:t>)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represented by different difficulty parameters among the whole sample, medical school</w:t>
      </w:r>
      <w:r w:rsidRPr="000A2A1E">
        <w:rPr>
          <w:spacing w:val="1"/>
          <w:lang w:val="en-AU"/>
        </w:rPr>
        <w:t xml:space="preserve"> </w:t>
      </w:r>
      <w:bookmarkStart w:id="5" w:name="Relevance_to_Nordic_Educational_Research"/>
      <w:bookmarkEnd w:id="5"/>
      <w:r w:rsidRPr="000A2A1E">
        <w:rPr>
          <w:lang w:val="en-AU"/>
        </w:rPr>
        <w:t>applicants,</w:t>
      </w:r>
      <w:r w:rsidRPr="000A2A1E">
        <w:rPr>
          <w:spacing w:val="-2"/>
          <w:lang w:val="en-AU"/>
        </w:rPr>
        <w:t xml:space="preserve"> </w:t>
      </w:r>
      <w:r w:rsidRPr="000A2A1E">
        <w:rPr>
          <w:lang w:val="en-AU"/>
        </w:rPr>
        <w:t>and</w:t>
      </w:r>
      <w:r w:rsidRPr="000A2A1E">
        <w:rPr>
          <w:spacing w:val="-2"/>
          <w:lang w:val="en-AU"/>
        </w:rPr>
        <w:t xml:space="preserve"> </w:t>
      </w:r>
      <w:r w:rsidRPr="000A2A1E">
        <w:rPr>
          <w:lang w:val="en-AU"/>
        </w:rPr>
        <w:t>language</w:t>
      </w:r>
      <w:r w:rsidRPr="000A2A1E">
        <w:rPr>
          <w:spacing w:val="-1"/>
          <w:lang w:val="en-AU"/>
        </w:rPr>
        <w:t xml:space="preserve"> </w:t>
      </w:r>
      <w:r w:rsidRPr="000A2A1E">
        <w:rPr>
          <w:lang w:val="en-AU"/>
        </w:rPr>
        <w:t>arts</w:t>
      </w:r>
      <w:r w:rsidRPr="000A2A1E">
        <w:rPr>
          <w:spacing w:val="-2"/>
          <w:lang w:val="en-AU"/>
        </w:rPr>
        <w:t xml:space="preserve"> </w:t>
      </w:r>
      <w:r w:rsidRPr="000A2A1E">
        <w:rPr>
          <w:lang w:val="en-AU"/>
        </w:rPr>
        <w:t>candidates.</w:t>
      </w:r>
    </w:p>
    <w:p w14:paraId="6EDA9CB1" w14:textId="77777777" w:rsidR="00A57402" w:rsidRPr="000A2A1E" w:rsidRDefault="000A2A1E">
      <w:pPr>
        <w:pStyle w:val="Heading1"/>
        <w:rPr>
          <w:lang w:val="en-AU"/>
        </w:rPr>
      </w:pPr>
      <w:r w:rsidRPr="000A2A1E">
        <w:rPr>
          <w:lang w:val="en-AU"/>
        </w:rPr>
        <w:t>Relevance</w:t>
      </w:r>
      <w:r w:rsidRPr="000A2A1E">
        <w:rPr>
          <w:spacing w:val="-18"/>
          <w:lang w:val="en-AU"/>
        </w:rPr>
        <w:t xml:space="preserve"> </w:t>
      </w:r>
      <w:r w:rsidRPr="000A2A1E">
        <w:rPr>
          <w:lang w:val="en-AU"/>
        </w:rPr>
        <w:t>to</w:t>
      </w:r>
      <w:r w:rsidRPr="000A2A1E">
        <w:rPr>
          <w:spacing w:val="-17"/>
          <w:lang w:val="en-AU"/>
        </w:rPr>
        <w:t xml:space="preserve"> </w:t>
      </w:r>
      <w:r w:rsidRPr="000A2A1E">
        <w:rPr>
          <w:lang w:val="en-AU"/>
        </w:rPr>
        <w:t>Nordic</w:t>
      </w:r>
      <w:r w:rsidRPr="000A2A1E">
        <w:rPr>
          <w:spacing w:val="-17"/>
          <w:lang w:val="en-AU"/>
        </w:rPr>
        <w:t xml:space="preserve"> </w:t>
      </w:r>
      <w:r w:rsidRPr="000A2A1E">
        <w:rPr>
          <w:lang w:val="en-AU"/>
        </w:rPr>
        <w:t>Educational</w:t>
      </w:r>
      <w:r w:rsidRPr="000A2A1E">
        <w:rPr>
          <w:spacing w:val="-18"/>
          <w:lang w:val="en-AU"/>
        </w:rPr>
        <w:t xml:space="preserve"> </w:t>
      </w:r>
      <w:r w:rsidRPr="000A2A1E">
        <w:rPr>
          <w:lang w:val="en-AU"/>
        </w:rPr>
        <w:t>Research</w:t>
      </w:r>
    </w:p>
    <w:p w14:paraId="53BA1A86" w14:textId="77777777" w:rsidR="00A57402" w:rsidRPr="000A2A1E" w:rsidRDefault="000A2A1E">
      <w:pPr>
        <w:pStyle w:val="BodyText"/>
        <w:spacing w:before="190" w:line="345" w:lineRule="auto"/>
        <w:ind w:firstLine="720"/>
        <w:rPr>
          <w:lang w:val="en-AU"/>
        </w:rPr>
      </w:pPr>
      <w:r w:rsidRPr="000A2A1E">
        <w:rPr>
          <w:lang w:val="en-AU"/>
        </w:rPr>
        <w:t>All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Nordic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countries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have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merit-based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criteria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for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selection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into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tertiary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education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with</w:t>
      </w:r>
      <w:r w:rsidRPr="000A2A1E">
        <w:rPr>
          <w:spacing w:val="-70"/>
          <w:lang w:val="en-AU"/>
        </w:rPr>
        <w:t xml:space="preserve"> </w:t>
      </w:r>
      <w:r w:rsidRPr="000A2A1E">
        <w:rPr>
          <w:lang w:val="en-AU"/>
        </w:rPr>
        <w:t>varying degree of operation across our countries. The issue of potential unequal treatment of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students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with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different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specialisation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upper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secondary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school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applies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across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our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countries.</w:t>
      </w:r>
    </w:p>
    <w:p w14:paraId="259879FF" w14:textId="77777777" w:rsidR="00A57402" w:rsidRPr="000A2A1E" w:rsidRDefault="000A2A1E">
      <w:pPr>
        <w:pStyle w:val="BodyText"/>
        <w:spacing w:line="345" w:lineRule="auto"/>
        <w:rPr>
          <w:lang w:val="en-AU"/>
        </w:rPr>
      </w:pPr>
      <w:r w:rsidRPr="000A2A1E">
        <w:rPr>
          <w:lang w:val="en-AU"/>
        </w:rPr>
        <w:t>By testing the assumption that grades from different specialities support GPA’s selection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purpose equally well, this study lends statistical support to evidence-based policy formation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process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commonly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practised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the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Nordic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community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and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serves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to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strengthen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the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fairness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of</w:t>
      </w:r>
      <w:r w:rsidRPr="000A2A1E">
        <w:rPr>
          <w:spacing w:val="-70"/>
          <w:lang w:val="en-AU"/>
        </w:rPr>
        <w:t xml:space="preserve"> </w:t>
      </w:r>
      <w:r w:rsidRPr="000A2A1E">
        <w:rPr>
          <w:lang w:val="en-AU"/>
        </w:rPr>
        <w:t>our</w:t>
      </w:r>
      <w:r w:rsidRPr="000A2A1E">
        <w:rPr>
          <w:spacing w:val="-2"/>
          <w:lang w:val="en-AU"/>
        </w:rPr>
        <w:t xml:space="preserve"> </w:t>
      </w:r>
      <w:r w:rsidRPr="000A2A1E">
        <w:rPr>
          <w:lang w:val="en-AU"/>
        </w:rPr>
        <w:t>merit-based</w:t>
      </w:r>
      <w:r w:rsidRPr="000A2A1E">
        <w:rPr>
          <w:spacing w:val="-2"/>
          <w:lang w:val="en-AU"/>
        </w:rPr>
        <w:t xml:space="preserve"> </w:t>
      </w:r>
      <w:r w:rsidRPr="000A2A1E">
        <w:rPr>
          <w:lang w:val="en-AU"/>
        </w:rPr>
        <w:t>university</w:t>
      </w:r>
      <w:r w:rsidRPr="000A2A1E">
        <w:rPr>
          <w:spacing w:val="-2"/>
          <w:lang w:val="en-AU"/>
        </w:rPr>
        <w:t xml:space="preserve"> </w:t>
      </w:r>
      <w:r w:rsidRPr="000A2A1E">
        <w:rPr>
          <w:lang w:val="en-AU"/>
        </w:rPr>
        <w:t>admission</w:t>
      </w:r>
      <w:r w:rsidRPr="000A2A1E">
        <w:rPr>
          <w:spacing w:val="-2"/>
          <w:lang w:val="en-AU"/>
        </w:rPr>
        <w:t xml:space="preserve"> </w:t>
      </w:r>
      <w:r w:rsidRPr="000A2A1E">
        <w:rPr>
          <w:lang w:val="en-AU"/>
        </w:rPr>
        <w:t>decisions.</w:t>
      </w:r>
    </w:p>
    <w:p w14:paraId="658CF404" w14:textId="77777777" w:rsidR="00A57402" w:rsidRPr="000A2A1E" w:rsidRDefault="00A57402">
      <w:pPr>
        <w:spacing w:line="345" w:lineRule="auto"/>
        <w:rPr>
          <w:lang w:val="en-AU"/>
        </w:rPr>
        <w:sectPr w:rsidR="00A57402" w:rsidRPr="000A2A1E">
          <w:pgSz w:w="11910" w:h="16840"/>
          <w:pgMar w:top="1380" w:right="1320" w:bottom="280" w:left="1320" w:header="678" w:footer="0" w:gutter="0"/>
          <w:cols w:space="720"/>
        </w:sectPr>
      </w:pPr>
    </w:p>
    <w:p w14:paraId="6B7A291F" w14:textId="77777777" w:rsidR="00A57402" w:rsidRPr="000A2A1E" w:rsidRDefault="000A2A1E">
      <w:pPr>
        <w:pStyle w:val="Heading1"/>
        <w:spacing w:before="88"/>
        <w:ind w:left="4021" w:right="4021"/>
        <w:jc w:val="center"/>
        <w:rPr>
          <w:lang w:val="en-AU"/>
        </w:rPr>
      </w:pPr>
      <w:bookmarkStart w:id="6" w:name="_bookmark0"/>
      <w:bookmarkEnd w:id="6"/>
      <w:r w:rsidRPr="000A2A1E">
        <w:rPr>
          <w:lang w:val="en-AU"/>
        </w:rPr>
        <w:lastRenderedPageBreak/>
        <w:t>References</w:t>
      </w:r>
    </w:p>
    <w:p w14:paraId="48888B23" w14:textId="77777777" w:rsidR="00A57402" w:rsidRPr="000A2A1E" w:rsidRDefault="000A2A1E">
      <w:pPr>
        <w:spacing w:before="189" w:line="345" w:lineRule="auto"/>
        <w:ind w:left="840" w:right="769" w:hanging="720"/>
        <w:jc w:val="both"/>
        <w:rPr>
          <w:lang w:val="en-AU"/>
        </w:rPr>
      </w:pPr>
      <w:r w:rsidRPr="000A2A1E">
        <w:rPr>
          <w:lang w:val="en-AU"/>
        </w:rPr>
        <w:t>Bourdieu,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P.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(1973).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Cultural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reproduction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and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social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reproduction.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R.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Brown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(Ed.),</w:t>
      </w:r>
      <w:r w:rsidRPr="000A2A1E">
        <w:rPr>
          <w:spacing w:val="-71"/>
          <w:lang w:val="en-AU"/>
        </w:rPr>
        <w:t xml:space="preserve"> </w:t>
      </w:r>
      <w:r w:rsidRPr="000A2A1E">
        <w:rPr>
          <w:i/>
          <w:lang w:val="en-AU"/>
        </w:rPr>
        <w:t>Knowledge,</w:t>
      </w:r>
      <w:r w:rsidRPr="000A2A1E">
        <w:rPr>
          <w:i/>
          <w:spacing w:val="-17"/>
          <w:lang w:val="en-AU"/>
        </w:rPr>
        <w:t xml:space="preserve"> </w:t>
      </w:r>
      <w:r w:rsidRPr="000A2A1E">
        <w:rPr>
          <w:i/>
          <w:lang w:val="en-AU"/>
        </w:rPr>
        <w:t>education,</w:t>
      </w:r>
      <w:r w:rsidRPr="000A2A1E">
        <w:rPr>
          <w:i/>
          <w:spacing w:val="-16"/>
          <w:lang w:val="en-AU"/>
        </w:rPr>
        <w:t xml:space="preserve"> </w:t>
      </w:r>
      <w:r w:rsidRPr="000A2A1E">
        <w:rPr>
          <w:i/>
          <w:lang w:val="en-AU"/>
        </w:rPr>
        <w:t>and</w:t>
      </w:r>
      <w:r w:rsidRPr="000A2A1E">
        <w:rPr>
          <w:i/>
          <w:spacing w:val="-17"/>
          <w:lang w:val="en-AU"/>
        </w:rPr>
        <w:t xml:space="preserve"> </w:t>
      </w:r>
      <w:r w:rsidRPr="000A2A1E">
        <w:rPr>
          <w:i/>
          <w:lang w:val="en-AU"/>
        </w:rPr>
        <w:t>cultural</w:t>
      </w:r>
      <w:r w:rsidRPr="000A2A1E">
        <w:rPr>
          <w:i/>
          <w:spacing w:val="-16"/>
          <w:lang w:val="en-AU"/>
        </w:rPr>
        <w:t xml:space="preserve"> </w:t>
      </w:r>
      <w:r w:rsidRPr="000A2A1E">
        <w:rPr>
          <w:i/>
          <w:lang w:val="en-AU"/>
        </w:rPr>
        <w:t>change:</w:t>
      </w:r>
      <w:r w:rsidRPr="000A2A1E">
        <w:rPr>
          <w:i/>
          <w:spacing w:val="-17"/>
          <w:lang w:val="en-AU"/>
        </w:rPr>
        <w:t xml:space="preserve"> </w:t>
      </w:r>
      <w:r w:rsidRPr="000A2A1E">
        <w:rPr>
          <w:i/>
          <w:lang w:val="en-AU"/>
        </w:rPr>
        <w:t>Papers</w:t>
      </w:r>
      <w:r w:rsidRPr="000A2A1E">
        <w:rPr>
          <w:i/>
          <w:spacing w:val="-16"/>
          <w:lang w:val="en-AU"/>
        </w:rPr>
        <w:t xml:space="preserve"> </w:t>
      </w:r>
      <w:r w:rsidRPr="000A2A1E">
        <w:rPr>
          <w:i/>
          <w:lang w:val="en-AU"/>
        </w:rPr>
        <w:t>in</w:t>
      </w:r>
      <w:r w:rsidRPr="000A2A1E">
        <w:rPr>
          <w:i/>
          <w:spacing w:val="-17"/>
          <w:lang w:val="en-AU"/>
        </w:rPr>
        <w:t xml:space="preserve"> </w:t>
      </w:r>
      <w:r w:rsidRPr="000A2A1E">
        <w:rPr>
          <w:i/>
          <w:lang w:val="en-AU"/>
        </w:rPr>
        <w:t>the</w:t>
      </w:r>
      <w:r w:rsidRPr="000A2A1E">
        <w:rPr>
          <w:i/>
          <w:spacing w:val="-16"/>
          <w:lang w:val="en-AU"/>
        </w:rPr>
        <w:t xml:space="preserve"> </w:t>
      </w:r>
      <w:r w:rsidRPr="000A2A1E">
        <w:rPr>
          <w:i/>
          <w:lang w:val="en-AU"/>
        </w:rPr>
        <w:t>sociology</w:t>
      </w:r>
      <w:r w:rsidRPr="000A2A1E">
        <w:rPr>
          <w:i/>
          <w:spacing w:val="-17"/>
          <w:lang w:val="en-AU"/>
        </w:rPr>
        <w:t xml:space="preserve"> </w:t>
      </w:r>
      <w:r w:rsidRPr="000A2A1E">
        <w:rPr>
          <w:i/>
          <w:lang w:val="en-AU"/>
        </w:rPr>
        <w:t>of</w:t>
      </w:r>
      <w:r w:rsidRPr="000A2A1E">
        <w:rPr>
          <w:i/>
          <w:spacing w:val="-16"/>
          <w:lang w:val="en-AU"/>
        </w:rPr>
        <w:t xml:space="preserve"> </w:t>
      </w:r>
      <w:r w:rsidRPr="000A2A1E">
        <w:rPr>
          <w:i/>
          <w:lang w:val="en-AU"/>
        </w:rPr>
        <w:t>education</w:t>
      </w:r>
      <w:r w:rsidRPr="000A2A1E">
        <w:rPr>
          <w:i/>
          <w:spacing w:val="-77"/>
          <w:lang w:val="en-AU"/>
        </w:rPr>
        <w:t xml:space="preserve"> </w:t>
      </w:r>
      <w:bookmarkStart w:id="7" w:name="_bookmark1"/>
      <w:bookmarkEnd w:id="7"/>
      <w:r w:rsidRPr="000A2A1E">
        <w:rPr>
          <w:spacing w:val="-1"/>
          <w:lang w:val="en-AU"/>
        </w:rPr>
        <w:t>(pp.</w:t>
      </w:r>
      <w:r w:rsidRPr="000A2A1E">
        <w:rPr>
          <w:spacing w:val="-15"/>
          <w:lang w:val="en-AU"/>
        </w:rPr>
        <w:t xml:space="preserve"> </w:t>
      </w:r>
      <w:r w:rsidRPr="000A2A1E">
        <w:rPr>
          <w:spacing w:val="-1"/>
          <w:lang w:val="en-AU"/>
        </w:rPr>
        <w:t>71–112).</w:t>
      </w:r>
      <w:r w:rsidRPr="000A2A1E">
        <w:rPr>
          <w:spacing w:val="-14"/>
          <w:lang w:val="en-AU"/>
        </w:rPr>
        <w:t xml:space="preserve"> </w:t>
      </w:r>
      <w:r w:rsidRPr="000A2A1E">
        <w:rPr>
          <w:spacing w:val="-1"/>
          <w:lang w:val="en-AU"/>
        </w:rPr>
        <w:t>Tavistock</w:t>
      </w:r>
      <w:r w:rsidRPr="000A2A1E">
        <w:rPr>
          <w:spacing w:val="-14"/>
          <w:lang w:val="en-AU"/>
        </w:rPr>
        <w:t xml:space="preserve"> </w:t>
      </w:r>
      <w:r w:rsidRPr="000A2A1E">
        <w:rPr>
          <w:spacing w:val="-1"/>
          <w:lang w:val="en-AU"/>
        </w:rPr>
        <w:t>Publications.</w:t>
      </w:r>
      <w:r w:rsidRPr="000A2A1E">
        <w:rPr>
          <w:spacing w:val="-14"/>
          <w:lang w:val="en-AU"/>
        </w:rPr>
        <w:t xml:space="preserve"> </w:t>
      </w:r>
      <w:hyperlink r:id="rId7">
        <w:r w:rsidRPr="000A2A1E">
          <w:rPr>
            <w:color w:val="0000FF"/>
            <w:spacing w:val="-1"/>
            <w:lang w:val="en-AU"/>
          </w:rPr>
          <w:t>https://doi.org/10.4324/9781351018142-3</w:t>
        </w:r>
      </w:hyperlink>
    </w:p>
    <w:p w14:paraId="394EA7BD" w14:textId="77777777" w:rsidR="00A57402" w:rsidRPr="000A2A1E" w:rsidRDefault="000A2A1E">
      <w:pPr>
        <w:spacing w:line="345" w:lineRule="auto"/>
        <w:ind w:left="840" w:right="409" w:hanging="720"/>
        <w:jc w:val="both"/>
        <w:rPr>
          <w:lang w:val="en-AU"/>
        </w:rPr>
      </w:pPr>
      <w:r w:rsidRPr="000A2A1E">
        <w:rPr>
          <w:lang w:val="en-AU"/>
        </w:rPr>
        <w:t>Gipps,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C.,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&amp;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Stobart,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G.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(2009).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Fairness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asses</w:t>
      </w:r>
      <w:r w:rsidRPr="000A2A1E">
        <w:rPr>
          <w:lang w:val="en-AU"/>
        </w:rPr>
        <w:t>sment.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C.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Wyatt-Smith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&amp;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J.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Cumming</w:t>
      </w:r>
      <w:r w:rsidRPr="000A2A1E">
        <w:rPr>
          <w:spacing w:val="-71"/>
          <w:lang w:val="en-AU"/>
        </w:rPr>
        <w:t xml:space="preserve"> </w:t>
      </w:r>
      <w:r w:rsidRPr="000A2A1E">
        <w:rPr>
          <w:lang w:val="en-AU"/>
        </w:rPr>
        <w:t>(Eds.),</w:t>
      </w:r>
      <w:r w:rsidRPr="000A2A1E">
        <w:rPr>
          <w:spacing w:val="-14"/>
          <w:lang w:val="en-AU"/>
        </w:rPr>
        <w:t xml:space="preserve"> </w:t>
      </w:r>
      <w:r w:rsidRPr="000A2A1E">
        <w:rPr>
          <w:i/>
          <w:lang w:val="en-AU"/>
        </w:rPr>
        <w:t>Educational</w:t>
      </w:r>
      <w:r w:rsidRPr="000A2A1E">
        <w:rPr>
          <w:i/>
          <w:spacing w:val="-14"/>
          <w:lang w:val="en-AU"/>
        </w:rPr>
        <w:t xml:space="preserve"> </w:t>
      </w:r>
      <w:r w:rsidRPr="000A2A1E">
        <w:rPr>
          <w:i/>
          <w:lang w:val="en-AU"/>
        </w:rPr>
        <w:t>assessment</w:t>
      </w:r>
      <w:r w:rsidRPr="000A2A1E">
        <w:rPr>
          <w:i/>
          <w:spacing w:val="-14"/>
          <w:lang w:val="en-AU"/>
        </w:rPr>
        <w:t xml:space="preserve"> </w:t>
      </w:r>
      <w:r w:rsidRPr="000A2A1E">
        <w:rPr>
          <w:i/>
          <w:lang w:val="en-AU"/>
        </w:rPr>
        <w:t>in</w:t>
      </w:r>
      <w:r w:rsidRPr="000A2A1E">
        <w:rPr>
          <w:i/>
          <w:spacing w:val="-14"/>
          <w:lang w:val="en-AU"/>
        </w:rPr>
        <w:t xml:space="preserve"> </w:t>
      </w:r>
      <w:r w:rsidRPr="000A2A1E">
        <w:rPr>
          <w:i/>
          <w:lang w:val="en-AU"/>
        </w:rPr>
        <w:t>the</w:t>
      </w:r>
      <w:r w:rsidRPr="000A2A1E">
        <w:rPr>
          <w:i/>
          <w:spacing w:val="-15"/>
          <w:lang w:val="en-AU"/>
        </w:rPr>
        <w:t xml:space="preserve"> </w:t>
      </w:r>
      <w:r w:rsidRPr="000A2A1E">
        <w:rPr>
          <w:i/>
          <w:lang w:val="en-AU"/>
        </w:rPr>
        <w:t>21st</w:t>
      </w:r>
      <w:r w:rsidRPr="000A2A1E">
        <w:rPr>
          <w:i/>
          <w:spacing w:val="-14"/>
          <w:lang w:val="en-AU"/>
        </w:rPr>
        <w:t xml:space="preserve"> </w:t>
      </w:r>
      <w:r w:rsidRPr="000A2A1E">
        <w:rPr>
          <w:i/>
          <w:lang w:val="en-AU"/>
        </w:rPr>
        <w:t>Century:</w:t>
      </w:r>
      <w:r w:rsidRPr="000A2A1E">
        <w:rPr>
          <w:i/>
          <w:spacing w:val="-14"/>
          <w:lang w:val="en-AU"/>
        </w:rPr>
        <w:t xml:space="preserve"> </w:t>
      </w:r>
      <w:r w:rsidRPr="000A2A1E">
        <w:rPr>
          <w:i/>
          <w:lang w:val="en-AU"/>
        </w:rPr>
        <w:t>Connecting</w:t>
      </w:r>
      <w:r w:rsidRPr="000A2A1E">
        <w:rPr>
          <w:i/>
          <w:spacing w:val="-14"/>
          <w:lang w:val="en-AU"/>
        </w:rPr>
        <w:t xml:space="preserve"> </w:t>
      </w:r>
      <w:r w:rsidRPr="000A2A1E">
        <w:rPr>
          <w:i/>
          <w:lang w:val="en-AU"/>
        </w:rPr>
        <w:t>theory</w:t>
      </w:r>
      <w:r w:rsidRPr="000A2A1E">
        <w:rPr>
          <w:i/>
          <w:spacing w:val="-14"/>
          <w:lang w:val="en-AU"/>
        </w:rPr>
        <w:t xml:space="preserve"> </w:t>
      </w:r>
      <w:r w:rsidRPr="000A2A1E">
        <w:rPr>
          <w:i/>
          <w:lang w:val="en-AU"/>
        </w:rPr>
        <w:t>and</w:t>
      </w:r>
      <w:r w:rsidRPr="000A2A1E">
        <w:rPr>
          <w:i/>
          <w:spacing w:val="-15"/>
          <w:lang w:val="en-AU"/>
        </w:rPr>
        <w:t xml:space="preserve"> </w:t>
      </w:r>
      <w:r w:rsidRPr="000A2A1E">
        <w:rPr>
          <w:i/>
          <w:lang w:val="en-AU"/>
        </w:rPr>
        <w:t>practice</w:t>
      </w:r>
      <w:r w:rsidRPr="000A2A1E">
        <w:rPr>
          <w:i/>
          <w:spacing w:val="-76"/>
          <w:lang w:val="en-AU"/>
        </w:rPr>
        <w:t xml:space="preserve"> </w:t>
      </w:r>
      <w:bookmarkStart w:id="8" w:name="_bookmark2"/>
      <w:bookmarkEnd w:id="8"/>
      <w:r w:rsidRPr="000A2A1E">
        <w:rPr>
          <w:lang w:val="en-AU"/>
        </w:rPr>
        <w:t>(pp.</w:t>
      </w:r>
      <w:r w:rsidRPr="000A2A1E">
        <w:rPr>
          <w:spacing w:val="-6"/>
          <w:lang w:val="en-AU"/>
        </w:rPr>
        <w:t xml:space="preserve"> </w:t>
      </w:r>
      <w:r w:rsidRPr="000A2A1E">
        <w:rPr>
          <w:lang w:val="en-AU"/>
        </w:rPr>
        <w:t>105–118).</w:t>
      </w:r>
      <w:r w:rsidRPr="000A2A1E">
        <w:rPr>
          <w:spacing w:val="-6"/>
          <w:lang w:val="en-AU"/>
        </w:rPr>
        <w:t xml:space="preserve"> </w:t>
      </w:r>
      <w:r w:rsidRPr="000A2A1E">
        <w:rPr>
          <w:lang w:val="en-AU"/>
        </w:rPr>
        <w:t>Springer.</w:t>
      </w:r>
      <w:r w:rsidRPr="000A2A1E">
        <w:rPr>
          <w:spacing w:val="-6"/>
          <w:lang w:val="en-AU"/>
        </w:rPr>
        <w:t xml:space="preserve"> </w:t>
      </w:r>
      <w:hyperlink r:id="rId8">
        <w:r w:rsidRPr="000A2A1E">
          <w:rPr>
            <w:color w:val="0000FF"/>
            <w:lang w:val="en-AU"/>
          </w:rPr>
          <w:t>https://doi.org/10.1007/978-1-4020-9964-9_6</w:t>
        </w:r>
      </w:hyperlink>
    </w:p>
    <w:p w14:paraId="1985D853" w14:textId="77777777" w:rsidR="00A57402" w:rsidRPr="000A2A1E" w:rsidRDefault="000A2A1E">
      <w:pPr>
        <w:pStyle w:val="BodyText"/>
        <w:spacing w:line="345" w:lineRule="auto"/>
        <w:ind w:left="840" w:right="535" w:hanging="720"/>
        <w:rPr>
          <w:lang w:val="en-AU"/>
        </w:rPr>
      </w:pPr>
      <w:r w:rsidRPr="000A2A1E">
        <w:rPr>
          <w:lang w:val="en-AU"/>
        </w:rPr>
        <w:t>He,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Q.,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Stockford,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I.,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&amp;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Meadows,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M.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(2018).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Inter-subject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comparability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of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examination</w:t>
      </w:r>
      <w:r w:rsidRPr="000A2A1E">
        <w:rPr>
          <w:spacing w:val="-70"/>
          <w:lang w:val="en-AU"/>
        </w:rPr>
        <w:t xml:space="preserve"> </w:t>
      </w:r>
      <w:r w:rsidRPr="000A2A1E">
        <w:rPr>
          <w:w w:val="95"/>
          <w:lang w:val="en-AU"/>
        </w:rPr>
        <w:t>standards</w:t>
      </w:r>
      <w:r w:rsidRPr="000A2A1E">
        <w:rPr>
          <w:spacing w:val="16"/>
          <w:w w:val="95"/>
          <w:lang w:val="en-AU"/>
        </w:rPr>
        <w:t xml:space="preserve"> </w:t>
      </w:r>
      <w:r w:rsidRPr="000A2A1E">
        <w:rPr>
          <w:w w:val="95"/>
          <w:lang w:val="en-AU"/>
        </w:rPr>
        <w:t>in</w:t>
      </w:r>
      <w:r w:rsidRPr="000A2A1E">
        <w:rPr>
          <w:spacing w:val="16"/>
          <w:w w:val="95"/>
          <w:lang w:val="en-AU"/>
        </w:rPr>
        <w:t xml:space="preserve"> </w:t>
      </w:r>
      <w:r w:rsidRPr="000A2A1E">
        <w:rPr>
          <w:w w:val="95"/>
          <w:lang w:val="en-AU"/>
        </w:rPr>
        <w:t>GCSE</w:t>
      </w:r>
      <w:r w:rsidRPr="000A2A1E">
        <w:rPr>
          <w:spacing w:val="16"/>
          <w:w w:val="95"/>
          <w:lang w:val="en-AU"/>
        </w:rPr>
        <w:t xml:space="preserve"> </w:t>
      </w:r>
      <w:r w:rsidRPr="000A2A1E">
        <w:rPr>
          <w:w w:val="95"/>
          <w:lang w:val="en-AU"/>
        </w:rPr>
        <w:t>and</w:t>
      </w:r>
      <w:r w:rsidRPr="000A2A1E">
        <w:rPr>
          <w:spacing w:val="16"/>
          <w:w w:val="95"/>
          <w:lang w:val="en-AU"/>
        </w:rPr>
        <w:t xml:space="preserve"> </w:t>
      </w:r>
      <w:r w:rsidRPr="000A2A1E">
        <w:rPr>
          <w:w w:val="95"/>
          <w:lang w:val="en-AU"/>
        </w:rPr>
        <w:t>GCE</w:t>
      </w:r>
      <w:r w:rsidRPr="000A2A1E">
        <w:rPr>
          <w:spacing w:val="17"/>
          <w:w w:val="95"/>
          <w:lang w:val="en-AU"/>
        </w:rPr>
        <w:t xml:space="preserve"> </w:t>
      </w:r>
      <w:r w:rsidRPr="000A2A1E">
        <w:rPr>
          <w:w w:val="95"/>
          <w:lang w:val="en-AU"/>
        </w:rPr>
        <w:t>in</w:t>
      </w:r>
      <w:r w:rsidRPr="000A2A1E">
        <w:rPr>
          <w:spacing w:val="16"/>
          <w:w w:val="95"/>
          <w:lang w:val="en-AU"/>
        </w:rPr>
        <w:t xml:space="preserve"> </w:t>
      </w:r>
      <w:r w:rsidRPr="000A2A1E">
        <w:rPr>
          <w:w w:val="95"/>
          <w:lang w:val="en-AU"/>
        </w:rPr>
        <w:t>England.</w:t>
      </w:r>
      <w:r w:rsidRPr="000A2A1E">
        <w:rPr>
          <w:spacing w:val="15"/>
          <w:w w:val="95"/>
          <w:lang w:val="en-AU"/>
        </w:rPr>
        <w:t xml:space="preserve"> </w:t>
      </w:r>
      <w:r w:rsidRPr="000A2A1E">
        <w:rPr>
          <w:i/>
          <w:w w:val="95"/>
          <w:lang w:val="en-AU"/>
        </w:rPr>
        <w:t>Oxford</w:t>
      </w:r>
      <w:r w:rsidRPr="000A2A1E">
        <w:rPr>
          <w:i/>
          <w:spacing w:val="18"/>
          <w:w w:val="95"/>
          <w:lang w:val="en-AU"/>
        </w:rPr>
        <w:t xml:space="preserve"> </w:t>
      </w:r>
      <w:r w:rsidRPr="000A2A1E">
        <w:rPr>
          <w:i/>
          <w:w w:val="95"/>
          <w:lang w:val="en-AU"/>
        </w:rPr>
        <w:t>Review</w:t>
      </w:r>
      <w:r w:rsidRPr="000A2A1E">
        <w:rPr>
          <w:i/>
          <w:spacing w:val="17"/>
          <w:w w:val="95"/>
          <w:lang w:val="en-AU"/>
        </w:rPr>
        <w:t xml:space="preserve"> </w:t>
      </w:r>
      <w:r w:rsidRPr="000A2A1E">
        <w:rPr>
          <w:i/>
          <w:w w:val="95"/>
          <w:lang w:val="en-AU"/>
        </w:rPr>
        <w:t>of</w:t>
      </w:r>
      <w:r w:rsidRPr="000A2A1E">
        <w:rPr>
          <w:i/>
          <w:spacing w:val="18"/>
          <w:w w:val="95"/>
          <w:lang w:val="en-AU"/>
        </w:rPr>
        <w:t xml:space="preserve"> </w:t>
      </w:r>
      <w:r w:rsidRPr="000A2A1E">
        <w:rPr>
          <w:i/>
          <w:w w:val="95"/>
          <w:lang w:val="en-AU"/>
        </w:rPr>
        <w:t>Education</w:t>
      </w:r>
      <w:r w:rsidRPr="000A2A1E">
        <w:rPr>
          <w:w w:val="95"/>
          <w:lang w:val="en-AU"/>
        </w:rPr>
        <w:t>,</w:t>
      </w:r>
      <w:r w:rsidRPr="000A2A1E">
        <w:rPr>
          <w:spacing w:val="16"/>
          <w:w w:val="95"/>
          <w:lang w:val="en-AU"/>
        </w:rPr>
        <w:t xml:space="preserve"> </w:t>
      </w:r>
      <w:r w:rsidRPr="000A2A1E">
        <w:rPr>
          <w:i/>
          <w:w w:val="95"/>
          <w:lang w:val="en-AU"/>
        </w:rPr>
        <w:t>44</w:t>
      </w:r>
      <w:r w:rsidRPr="000A2A1E">
        <w:rPr>
          <w:i/>
          <w:spacing w:val="-41"/>
          <w:w w:val="95"/>
          <w:lang w:val="en-AU"/>
        </w:rPr>
        <w:t xml:space="preserve"> </w:t>
      </w:r>
      <w:r w:rsidRPr="000A2A1E">
        <w:rPr>
          <w:w w:val="95"/>
          <w:lang w:val="en-AU"/>
        </w:rPr>
        <w:t>(4),</w:t>
      </w:r>
      <w:r w:rsidRPr="000A2A1E">
        <w:rPr>
          <w:spacing w:val="1"/>
          <w:w w:val="95"/>
          <w:lang w:val="en-AU"/>
        </w:rPr>
        <w:t xml:space="preserve"> </w:t>
      </w:r>
      <w:bookmarkStart w:id="9" w:name="_bookmark3"/>
      <w:bookmarkEnd w:id="9"/>
      <w:r w:rsidRPr="000A2A1E">
        <w:rPr>
          <w:lang w:val="en-AU"/>
        </w:rPr>
        <w:t>494–513.</w:t>
      </w:r>
      <w:r w:rsidRPr="000A2A1E">
        <w:rPr>
          <w:spacing w:val="-4"/>
          <w:lang w:val="en-AU"/>
        </w:rPr>
        <w:t xml:space="preserve"> </w:t>
      </w:r>
      <w:hyperlink r:id="rId9">
        <w:r w:rsidRPr="000A2A1E">
          <w:rPr>
            <w:color w:val="0000FF"/>
            <w:lang w:val="en-AU"/>
          </w:rPr>
          <w:t>https://doi.org/10.1080/03054985.2018.1430562</w:t>
        </w:r>
      </w:hyperlink>
    </w:p>
    <w:p w14:paraId="3EC8B9C0" w14:textId="77777777" w:rsidR="00A57402" w:rsidRPr="000A2A1E" w:rsidRDefault="000A2A1E">
      <w:pPr>
        <w:pStyle w:val="BodyText"/>
        <w:spacing w:line="310" w:lineRule="exact"/>
        <w:rPr>
          <w:lang w:val="en-AU"/>
        </w:rPr>
      </w:pPr>
      <w:r w:rsidRPr="000A2A1E">
        <w:rPr>
          <w:lang w:val="en-AU"/>
        </w:rPr>
        <w:t>Kalthoff,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H.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(2013).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Practices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of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grading: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An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ethnographic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study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of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educational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assessment.</w:t>
      </w:r>
    </w:p>
    <w:p w14:paraId="358ACD2C" w14:textId="77777777" w:rsidR="00A57402" w:rsidRPr="000A2A1E" w:rsidRDefault="000A2A1E">
      <w:pPr>
        <w:spacing w:before="135" w:line="345" w:lineRule="auto"/>
        <w:ind w:left="840" w:right="95"/>
        <w:rPr>
          <w:lang w:val="en-AU"/>
        </w:rPr>
      </w:pPr>
      <w:r w:rsidRPr="000A2A1E">
        <w:rPr>
          <w:i/>
          <w:w w:val="95"/>
          <w:lang w:val="en-AU"/>
        </w:rPr>
        <w:t>Ethnography</w:t>
      </w:r>
      <w:r w:rsidRPr="000A2A1E">
        <w:rPr>
          <w:i/>
          <w:spacing w:val="14"/>
          <w:w w:val="95"/>
          <w:lang w:val="en-AU"/>
        </w:rPr>
        <w:t xml:space="preserve"> </w:t>
      </w:r>
      <w:r w:rsidRPr="000A2A1E">
        <w:rPr>
          <w:i/>
          <w:w w:val="95"/>
          <w:lang w:val="en-AU"/>
        </w:rPr>
        <w:t>and</w:t>
      </w:r>
      <w:r w:rsidRPr="000A2A1E">
        <w:rPr>
          <w:i/>
          <w:spacing w:val="15"/>
          <w:w w:val="95"/>
          <w:lang w:val="en-AU"/>
        </w:rPr>
        <w:t xml:space="preserve"> </w:t>
      </w:r>
      <w:r w:rsidRPr="000A2A1E">
        <w:rPr>
          <w:i/>
          <w:w w:val="95"/>
          <w:lang w:val="en-AU"/>
        </w:rPr>
        <w:t>Education</w:t>
      </w:r>
      <w:r w:rsidRPr="000A2A1E">
        <w:rPr>
          <w:w w:val="95"/>
          <w:lang w:val="en-AU"/>
        </w:rPr>
        <w:t>,</w:t>
      </w:r>
      <w:r w:rsidRPr="000A2A1E">
        <w:rPr>
          <w:spacing w:val="14"/>
          <w:w w:val="95"/>
          <w:lang w:val="en-AU"/>
        </w:rPr>
        <w:t xml:space="preserve"> </w:t>
      </w:r>
      <w:r w:rsidRPr="000A2A1E">
        <w:rPr>
          <w:i/>
          <w:w w:val="95"/>
          <w:lang w:val="en-AU"/>
        </w:rPr>
        <w:t>8</w:t>
      </w:r>
      <w:r w:rsidRPr="000A2A1E">
        <w:rPr>
          <w:i/>
          <w:spacing w:val="-41"/>
          <w:w w:val="95"/>
          <w:lang w:val="en-AU"/>
        </w:rPr>
        <w:t xml:space="preserve"> </w:t>
      </w:r>
      <w:r w:rsidRPr="000A2A1E">
        <w:rPr>
          <w:w w:val="95"/>
          <w:lang w:val="en-AU"/>
        </w:rPr>
        <w:t>(1),</w:t>
      </w:r>
      <w:r w:rsidRPr="000A2A1E">
        <w:rPr>
          <w:spacing w:val="13"/>
          <w:w w:val="95"/>
          <w:lang w:val="en-AU"/>
        </w:rPr>
        <w:t xml:space="preserve"> </w:t>
      </w:r>
      <w:r w:rsidRPr="000A2A1E">
        <w:rPr>
          <w:w w:val="95"/>
          <w:lang w:val="en-AU"/>
        </w:rPr>
        <w:t>89–104.</w:t>
      </w:r>
      <w:r w:rsidRPr="000A2A1E">
        <w:rPr>
          <w:spacing w:val="1"/>
          <w:w w:val="95"/>
          <w:lang w:val="en-AU"/>
        </w:rPr>
        <w:t xml:space="preserve"> </w:t>
      </w:r>
      <w:hyperlink r:id="rId10">
        <w:bookmarkStart w:id="10" w:name="_bookmark4"/>
        <w:bookmarkEnd w:id="10"/>
        <w:r w:rsidRPr="000A2A1E">
          <w:rPr>
            <w:color w:val="0000FF"/>
            <w:spacing w:val="-2"/>
            <w:lang w:val="en-AU"/>
          </w:rPr>
          <w:t>https://doi.org/10.1080/17457823.2013.766436</w:t>
        </w:r>
      </w:hyperlink>
    </w:p>
    <w:p w14:paraId="28EDE355" w14:textId="77777777" w:rsidR="00A57402" w:rsidRPr="000A2A1E" w:rsidRDefault="000A2A1E">
      <w:pPr>
        <w:spacing w:line="345" w:lineRule="auto"/>
        <w:ind w:left="840" w:hanging="720"/>
        <w:rPr>
          <w:lang w:val="en-AU"/>
        </w:rPr>
      </w:pPr>
      <w:r w:rsidRPr="000A2A1E">
        <w:rPr>
          <w:lang w:val="en-AU"/>
        </w:rPr>
        <w:t>Kane,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M.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T.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(2013).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Validating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the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interpretations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and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uses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of</w:t>
      </w:r>
      <w:r w:rsidRPr="000A2A1E">
        <w:rPr>
          <w:spacing w:val="-10"/>
          <w:lang w:val="en-AU"/>
        </w:rPr>
        <w:t xml:space="preserve"> </w:t>
      </w:r>
      <w:r w:rsidRPr="000A2A1E">
        <w:rPr>
          <w:lang w:val="en-AU"/>
        </w:rPr>
        <w:t>test</w:t>
      </w:r>
      <w:r w:rsidRPr="000A2A1E">
        <w:rPr>
          <w:spacing w:val="-9"/>
          <w:lang w:val="en-AU"/>
        </w:rPr>
        <w:t xml:space="preserve"> </w:t>
      </w:r>
      <w:r w:rsidRPr="000A2A1E">
        <w:rPr>
          <w:lang w:val="en-AU"/>
        </w:rPr>
        <w:t>scores.</w:t>
      </w:r>
      <w:r w:rsidRPr="000A2A1E">
        <w:rPr>
          <w:spacing w:val="-10"/>
          <w:lang w:val="en-AU"/>
        </w:rPr>
        <w:t xml:space="preserve"> </w:t>
      </w:r>
      <w:r w:rsidRPr="000A2A1E">
        <w:rPr>
          <w:i/>
          <w:lang w:val="en-AU"/>
        </w:rPr>
        <w:t>Journal</w:t>
      </w:r>
      <w:r w:rsidRPr="000A2A1E">
        <w:rPr>
          <w:i/>
          <w:spacing w:val="-10"/>
          <w:lang w:val="en-AU"/>
        </w:rPr>
        <w:t xml:space="preserve"> </w:t>
      </w:r>
      <w:r w:rsidRPr="000A2A1E">
        <w:rPr>
          <w:i/>
          <w:lang w:val="en-AU"/>
        </w:rPr>
        <w:t>of</w:t>
      </w:r>
      <w:r w:rsidRPr="000A2A1E">
        <w:rPr>
          <w:i/>
          <w:spacing w:val="-76"/>
          <w:lang w:val="en-AU"/>
        </w:rPr>
        <w:t xml:space="preserve"> </w:t>
      </w:r>
      <w:bookmarkStart w:id="11" w:name="_bookmark5"/>
      <w:bookmarkEnd w:id="11"/>
      <w:r w:rsidRPr="000A2A1E">
        <w:rPr>
          <w:i/>
          <w:w w:val="95"/>
          <w:lang w:val="en-AU"/>
        </w:rPr>
        <w:t>Educational</w:t>
      </w:r>
      <w:r w:rsidRPr="000A2A1E">
        <w:rPr>
          <w:i/>
          <w:spacing w:val="33"/>
          <w:w w:val="95"/>
          <w:lang w:val="en-AU"/>
        </w:rPr>
        <w:t xml:space="preserve"> </w:t>
      </w:r>
      <w:r w:rsidRPr="000A2A1E">
        <w:rPr>
          <w:i/>
          <w:w w:val="95"/>
          <w:lang w:val="en-AU"/>
        </w:rPr>
        <w:t>Measurement</w:t>
      </w:r>
      <w:r w:rsidRPr="000A2A1E">
        <w:rPr>
          <w:w w:val="95"/>
          <w:lang w:val="en-AU"/>
        </w:rPr>
        <w:t>,</w:t>
      </w:r>
      <w:r w:rsidRPr="000A2A1E">
        <w:rPr>
          <w:spacing w:val="32"/>
          <w:w w:val="95"/>
          <w:lang w:val="en-AU"/>
        </w:rPr>
        <w:t xml:space="preserve"> </w:t>
      </w:r>
      <w:r w:rsidRPr="000A2A1E">
        <w:rPr>
          <w:i/>
          <w:w w:val="95"/>
          <w:lang w:val="en-AU"/>
        </w:rPr>
        <w:t>50</w:t>
      </w:r>
      <w:r w:rsidRPr="000A2A1E">
        <w:rPr>
          <w:i/>
          <w:spacing w:val="-35"/>
          <w:w w:val="95"/>
          <w:lang w:val="en-AU"/>
        </w:rPr>
        <w:t xml:space="preserve"> </w:t>
      </w:r>
      <w:r w:rsidRPr="000A2A1E">
        <w:rPr>
          <w:w w:val="95"/>
          <w:lang w:val="en-AU"/>
        </w:rPr>
        <w:t>(1),</w:t>
      </w:r>
      <w:r w:rsidRPr="000A2A1E">
        <w:rPr>
          <w:spacing w:val="31"/>
          <w:w w:val="95"/>
          <w:lang w:val="en-AU"/>
        </w:rPr>
        <w:t xml:space="preserve"> </w:t>
      </w:r>
      <w:r w:rsidRPr="000A2A1E">
        <w:rPr>
          <w:w w:val="95"/>
          <w:lang w:val="en-AU"/>
        </w:rPr>
        <w:t>1–73.</w:t>
      </w:r>
      <w:r w:rsidRPr="000A2A1E">
        <w:rPr>
          <w:spacing w:val="32"/>
          <w:w w:val="95"/>
          <w:lang w:val="en-AU"/>
        </w:rPr>
        <w:t xml:space="preserve"> </w:t>
      </w:r>
      <w:hyperlink r:id="rId11">
        <w:r w:rsidRPr="000A2A1E">
          <w:rPr>
            <w:color w:val="0000FF"/>
            <w:w w:val="95"/>
            <w:lang w:val="en-AU"/>
          </w:rPr>
          <w:t>https://doi.org/10.1111/jedm.12000</w:t>
        </w:r>
      </w:hyperlink>
    </w:p>
    <w:p w14:paraId="4936FF42" w14:textId="77777777" w:rsidR="00A57402" w:rsidRPr="000A2A1E" w:rsidRDefault="000A2A1E">
      <w:pPr>
        <w:pStyle w:val="BodyText"/>
        <w:spacing w:line="345" w:lineRule="auto"/>
        <w:ind w:left="840" w:hanging="720"/>
        <w:rPr>
          <w:lang w:val="en-AU"/>
        </w:rPr>
      </w:pPr>
      <w:r w:rsidRPr="000A2A1E">
        <w:rPr>
          <w:lang w:val="en-AU"/>
        </w:rPr>
        <w:t>Korobko, O. B., Glas, C. A. W., Bosker, R. J., &amp; Luyten, J. W. (2008). Comparing the</w:t>
      </w:r>
      <w:r w:rsidRPr="000A2A1E">
        <w:rPr>
          <w:spacing w:val="1"/>
          <w:lang w:val="en-AU"/>
        </w:rPr>
        <w:t xml:space="preserve"> </w:t>
      </w:r>
      <w:r w:rsidRPr="000A2A1E">
        <w:rPr>
          <w:lang w:val="en-AU"/>
        </w:rPr>
        <w:t>difficulty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of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examination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subjects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with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item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response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theory.</w:t>
      </w:r>
      <w:r w:rsidRPr="000A2A1E">
        <w:rPr>
          <w:spacing w:val="-11"/>
          <w:lang w:val="en-AU"/>
        </w:rPr>
        <w:t xml:space="preserve"> </w:t>
      </w:r>
      <w:r w:rsidRPr="000A2A1E">
        <w:rPr>
          <w:i/>
          <w:lang w:val="en-AU"/>
        </w:rPr>
        <w:t>Journal</w:t>
      </w:r>
      <w:r w:rsidRPr="000A2A1E">
        <w:rPr>
          <w:i/>
          <w:spacing w:val="-12"/>
          <w:lang w:val="en-AU"/>
        </w:rPr>
        <w:t xml:space="preserve"> </w:t>
      </w:r>
      <w:r w:rsidRPr="000A2A1E">
        <w:rPr>
          <w:i/>
          <w:lang w:val="en-AU"/>
        </w:rPr>
        <w:t>of</w:t>
      </w:r>
      <w:r w:rsidRPr="000A2A1E">
        <w:rPr>
          <w:i/>
          <w:spacing w:val="-11"/>
          <w:lang w:val="en-AU"/>
        </w:rPr>
        <w:t xml:space="preserve"> </w:t>
      </w:r>
      <w:r w:rsidRPr="000A2A1E">
        <w:rPr>
          <w:i/>
          <w:lang w:val="en-AU"/>
        </w:rPr>
        <w:t>Educational</w:t>
      </w:r>
      <w:r w:rsidRPr="000A2A1E">
        <w:rPr>
          <w:i/>
          <w:spacing w:val="-76"/>
          <w:lang w:val="en-AU"/>
        </w:rPr>
        <w:t xml:space="preserve"> </w:t>
      </w:r>
      <w:bookmarkStart w:id="12" w:name="_bookmark6"/>
      <w:bookmarkEnd w:id="12"/>
      <w:r w:rsidRPr="000A2A1E">
        <w:rPr>
          <w:i/>
          <w:w w:val="95"/>
          <w:lang w:val="en-AU"/>
        </w:rPr>
        <w:t>Measurement</w:t>
      </w:r>
      <w:r w:rsidRPr="000A2A1E">
        <w:rPr>
          <w:w w:val="95"/>
          <w:lang w:val="en-AU"/>
        </w:rPr>
        <w:t>,</w:t>
      </w:r>
      <w:r w:rsidRPr="000A2A1E">
        <w:rPr>
          <w:spacing w:val="27"/>
          <w:w w:val="95"/>
          <w:lang w:val="en-AU"/>
        </w:rPr>
        <w:t xml:space="preserve"> </w:t>
      </w:r>
      <w:r w:rsidRPr="000A2A1E">
        <w:rPr>
          <w:i/>
          <w:w w:val="95"/>
          <w:lang w:val="en-AU"/>
        </w:rPr>
        <w:t>45</w:t>
      </w:r>
      <w:r w:rsidRPr="000A2A1E">
        <w:rPr>
          <w:i/>
          <w:spacing w:val="-37"/>
          <w:w w:val="95"/>
          <w:lang w:val="en-AU"/>
        </w:rPr>
        <w:t xml:space="preserve"> </w:t>
      </w:r>
      <w:r w:rsidRPr="000A2A1E">
        <w:rPr>
          <w:w w:val="95"/>
          <w:lang w:val="en-AU"/>
        </w:rPr>
        <w:t>(2),</w:t>
      </w:r>
      <w:r w:rsidRPr="000A2A1E">
        <w:rPr>
          <w:spacing w:val="27"/>
          <w:w w:val="95"/>
          <w:lang w:val="en-AU"/>
        </w:rPr>
        <w:t xml:space="preserve"> </w:t>
      </w:r>
      <w:r w:rsidRPr="000A2A1E">
        <w:rPr>
          <w:w w:val="95"/>
          <w:lang w:val="en-AU"/>
        </w:rPr>
        <w:t>139–157.</w:t>
      </w:r>
      <w:r w:rsidRPr="000A2A1E">
        <w:rPr>
          <w:spacing w:val="27"/>
          <w:w w:val="95"/>
          <w:lang w:val="en-AU"/>
        </w:rPr>
        <w:t xml:space="preserve"> </w:t>
      </w:r>
      <w:hyperlink r:id="rId12">
        <w:r w:rsidRPr="000A2A1E">
          <w:rPr>
            <w:color w:val="0000FF"/>
            <w:w w:val="95"/>
            <w:lang w:val="en-AU"/>
          </w:rPr>
          <w:t>https://doi.org/10.1111/j.1745-3984.2007.00057.x</w:t>
        </w:r>
      </w:hyperlink>
    </w:p>
    <w:p w14:paraId="5DEB5679" w14:textId="77777777" w:rsidR="00A57402" w:rsidRPr="000A2A1E" w:rsidRDefault="000A2A1E">
      <w:pPr>
        <w:pStyle w:val="BodyText"/>
        <w:spacing w:line="345" w:lineRule="auto"/>
        <w:ind w:left="840" w:right="823" w:hanging="720"/>
        <w:rPr>
          <w:lang w:val="en-AU"/>
        </w:rPr>
      </w:pPr>
      <w:r w:rsidRPr="000A2A1E">
        <w:rPr>
          <w:lang w:val="en-AU"/>
        </w:rPr>
        <w:t>Messick,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S.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(1989).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Validity.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R.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L.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Linn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(Ed.),</w:t>
      </w:r>
      <w:r w:rsidRPr="000A2A1E">
        <w:rPr>
          <w:spacing w:val="-13"/>
          <w:lang w:val="en-AU"/>
        </w:rPr>
        <w:t xml:space="preserve"> </w:t>
      </w:r>
      <w:r w:rsidRPr="000A2A1E">
        <w:rPr>
          <w:i/>
          <w:lang w:val="en-AU"/>
        </w:rPr>
        <w:t>Educational</w:t>
      </w:r>
      <w:r w:rsidRPr="000A2A1E">
        <w:rPr>
          <w:i/>
          <w:spacing w:val="-14"/>
          <w:lang w:val="en-AU"/>
        </w:rPr>
        <w:t xml:space="preserve"> </w:t>
      </w:r>
      <w:r w:rsidRPr="000A2A1E">
        <w:rPr>
          <w:i/>
          <w:lang w:val="en-AU"/>
        </w:rPr>
        <w:t>measurement</w:t>
      </w:r>
      <w:r w:rsidRPr="000A2A1E">
        <w:rPr>
          <w:i/>
          <w:spacing w:val="-6"/>
          <w:lang w:val="en-AU"/>
        </w:rPr>
        <w:t xml:space="preserve"> </w:t>
      </w:r>
      <w:r w:rsidRPr="000A2A1E">
        <w:rPr>
          <w:lang w:val="en-AU"/>
        </w:rPr>
        <w:t>(3rd</w:t>
      </w:r>
      <w:r w:rsidRPr="000A2A1E">
        <w:rPr>
          <w:spacing w:val="-13"/>
          <w:lang w:val="en-AU"/>
        </w:rPr>
        <w:t xml:space="preserve"> </w:t>
      </w:r>
      <w:r w:rsidRPr="000A2A1E">
        <w:rPr>
          <w:lang w:val="en-AU"/>
        </w:rPr>
        <w:t>ed.,</w:t>
      </w:r>
      <w:r w:rsidRPr="000A2A1E">
        <w:rPr>
          <w:spacing w:val="-70"/>
          <w:lang w:val="en-AU"/>
        </w:rPr>
        <w:t xml:space="preserve"> </w:t>
      </w:r>
      <w:bookmarkStart w:id="13" w:name="_bookmark7"/>
      <w:bookmarkEnd w:id="13"/>
      <w:r w:rsidRPr="000A2A1E">
        <w:rPr>
          <w:lang w:val="en-AU"/>
        </w:rPr>
        <w:t>pp.</w:t>
      </w:r>
      <w:r w:rsidRPr="000A2A1E">
        <w:rPr>
          <w:spacing w:val="-4"/>
          <w:lang w:val="en-AU"/>
        </w:rPr>
        <w:t xml:space="preserve"> </w:t>
      </w:r>
      <w:r w:rsidRPr="000A2A1E">
        <w:rPr>
          <w:lang w:val="en-AU"/>
        </w:rPr>
        <w:t>10–103).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American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Councile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on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Education;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Macmillan.</w:t>
      </w:r>
    </w:p>
    <w:p w14:paraId="28615572" w14:textId="77777777" w:rsidR="00A57402" w:rsidRPr="000A2A1E" w:rsidRDefault="000A2A1E">
      <w:pPr>
        <w:spacing w:line="345" w:lineRule="auto"/>
        <w:ind w:left="840" w:hanging="720"/>
        <w:rPr>
          <w:lang w:val="en-AU"/>
        </w:rPr>
      </w:pPr>
      <w:r w:rsidRPr="000A2A1E">
        <w:rPr>
          <w:lang w:val="en-AU"/>
        </w:rPr>
        <w:t>Muraki,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E.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(1992).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A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generalized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partial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credit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model: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Application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of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an</w:t>
      </w:r>
      <w:r w:rsidRPr="000A2A1E">
        <w:rPr>
          <w:spacing w:val="-8"/>
          <w:lang w:val="en-AU"/>
        </w:rPr>
        <w:t xml:space="preserve"> </w:t>
      </w:r>
      <w:r w:rsidRPr="000A2A1E">
        <w:rPr>
          <w:lang w:val="en-AU"/>
        </w:rPr>
        <w:t>EM</w:t>
      </w:r>
      <w:r w:rsidRPr="000A2A1E">
        <w:rPr>
          <w:spacing w:val="-7"/>
          <w:lang w:val="en-AU"/>
        </w:rPr>
        <w:t xml:space="preserve"> </w:t>
      </w:r>
      <w:r w:rsidRPr="000A2A1E">
        <w:rPr>
          <w:lang w:val="en-AU"/>
        </w:rPr>
        <w:t>algorithm.</w:t>
      </w:r>
      <w:r w:rsidRPr="000A2A1E">
        <w:rPr>
          <w:spacing w:val="-8"/>
          <w:lang w:val="en-AU"/>
        </w:rPr>
        <w:t xml:space="preserve"> </w:t>
      </w:r>
      <w:r w:rsidRPr="000A2A1E">
        <w:rPr>
          <w:i/>
          <w:lang w:val="en-AU"/>
        </w:rPr>
        <w:t>ETS</w:t>
      </w:r>
      <w:r w:rsidRPr="000A2A1E">
        <w:rPr>
          <w:i/>
          <w:spacing w:val="-76"/>
          <w:lang w:val="en-AU"/>
        </w:rPr>
        <w:t xml:space="preserve"> </w:t>
      </w:r>
      <w:r w:rsidRPr="000A2A1E">
        <w:rPr>
          <w:i/>
          <w:lang w:val="en-AU"/>
        </w:rPr>
        <w:t>Research</w:t>
      </w:r>
      <w:r w:rsidRPr="000A2A1E">
        <w:rPr>
          <w:i/>
          <w:spacing w:val="-3"/>
          <w:lang w:val="en-AU"/>
        </w:rPr>
        <w:t xml:space="preserve"> </w:t>
      </w:r>
      <w:r w:rsidRPr="000A2A1E">
        <w:rPr>
          <w:i/>
          <w:lang w:val="en-AU"/>
        </w:rPr>
        <w:t>Report</w:t>
      </w:r>
      <w:r w:rsidRPr="000A2A1E">
        <w:rPr>
          <w:i/>
          <w:spacing w:val="-2"/>
          <w:lang w:val="en-AU"/>
        </w:rPr>
        <w:t xml:space="preserve"> </w:t>
      </w:r>
      <w:r w:rsidRPr="000A2A1E">
        <w:rPr>
          <w:i/>
          <w:lang w:val="en-AU"/>
        </w:rPr>
        <w:t>Series</w:t>
      </w:r>
      <w:r w:rsidRPr="000A2A1E">
        <w:rPr>
          <w:lang w:val="en-AU"/>
        </w:rPr>
        <w:t>,</w:t>
      </w:r>
      <w:r w:rsidRPr="000A2A1E">
        <w:rPr>
          <w:spacing w:val="-3"/>
          <w:lang w:val="en-AU"/>
        </w:rPr>
        <w:t xml:space="preserve"> </w:t>
      </w:r>
      <w:r w:rsidRPr="000A2A1E">
        <w:rPr>
          <w:i/>
          <w:lang w:val="en-AU"/>
        </w:rPr>
        <w:t>1992</w:t>
      </w:r>
      <w:r w:rsidRPr="000A2A1E">
        <w:rPr>
          <w:i/>
          <w:spacing w:val="-50"/>
          <w:lang w:val="en-AU"/>
        </w:rPr>
        <w:t xml:space="preserve"> </w:t>
      </w:r>
      <w:r w:rsidRPr="000A2A1E">
        <w:rPr>
          <w:lang w:val="en-AU"/>
        </w:rPr>
        <w:t>(1),</w:t>
      </w:r>
      <w:r w:rsidRPr="000A2A1E">
        <w:rPr>
          <w:spacing w:val="-3"/>
          <w:lang w:val="en-AU"/>
        </w:rPr>
        <w:t xml:space="preserve"> </w:t>
      </w:r>
      <w:r w:rsidRPr="000A2A1E">
        <w:rPr>
          <w:lang w:val="en-AU"/>
        </w:rPr>
        <w:t>1–30.</w:t>
      </w:r>
    </w:p>
    <w:bookmarkStart w:id="14" w:name="_bookmark8"/>
    <w:bookmarkEnd w:id="14"/>
    <w:p w14:paraId="3917C910" w14:textId="77777777" w:rsidR="00A57402" w:rsidRPr="000A2A1E" w:rsidRDefault="000A2A1E">
      <w:pPr>
        <w:pStyle w:val="BodyText"/>
        <w:spacing w:line="311" w:lineRule="exact"/>
        <w:ind w:left="840"/>
        <w:rPr>
          <w:lang w:val="en-AU"/>
        </w:rPr>
      </w:pPr>
      <w:r w:rsidRPr="000A2A1E">
        <w:rPr>
          <w:lang w:val="en-AU"/>
        </w:rPr>
        <w:fldChar w:fldCharType="begin"/>
      </w:r>
      <w:r w:rsidRPr="000A2A1E">
        <w:rPr>
          <w:lang w:val="en-AU"/>
        </w:rPr>
        <w:instrText xml:space="preserve"> HYPERLINK "https://doi.org/10.1002/j.2333-8504.1992.tb01436.x" \h </w:instrText>
      </w:r>
      <w:r w:rsidRPr="000A2A1E">
        <w:rPr>
          <w:lang w:val="en-AU"/>
        </w:rPr>
        <w:fldChar w:fldCharType="separate"/>
      </w:r>
      <w:r w:rsidRPr="000A2A1E">
        <w:rPr>
          <w:color w:val="0000FF"/>
          <w:lang w:val="en-AU"/>
        </w:rPr>
        <w:t>https://doi.org/10.1002/j.2333-8504.1992.tb01436.x</w:t>
      </w:r>
      <w:r w:rsidRPr="000A2A1E">
        <w:rPr>
          <w:color w:val="0000FF"/>
          <w:lang w:val="en-AU"/>
        </w:rPr>
        <w:fldChar w:fldCharType="end"/>
      </w:r>
    </w:p>
    <w:p w14:paraId="60892BB3" w14:textId="77777777" w:rsidR="00A57402" w:rsidRPr="000A2A1E" w:rsidRDefault="000A2A1E">
      <w:pPr>
        <w:pStyle w:val="BodyText"/>
        <w:spacing w:before="133" w:line="345" w:lineRule="auto"/>
        <w:ind w:left="840" w:right="535" w:hanging="720"/>
        <w:rPr>
          <w:lang w:val="en-AU"/>
        </w:rPr>
      </w:pPr>
      <w:r w:rsidRPr="000A2A1E">
        <w:rPr>
          <w:lang w:val="en-AU"/>
        </w:rPr>
        <w:t>Norwegian</w:t>
      </w:r>
      <w:r w:rsidRPr="000A2A1E">
        <w:rPr>
          <w:spacing w:val="-17"/>
          <w:lang w:val="en-AU"/>
        </w:rPr>
        <w:t xml:space="preserve"> </w:t>
      </w:r>
      <w:r w:rsidRPr="000A2A1E">
        <w:rPr>
          <w:lang w:val="en-AU"/>
        </w:rPr>
        <w:t>Ministry</w:t>
      </w:r>
      <w:r w:rsidRPr="000A2A1E">
        <w:rPr>
          <w:spacing w:val="-16"/>
          <w:lang w:val="en-AU"/>
        </w:rPr>
        <w:t xml:space="preserve"> </w:t>
      </w:r>
      <w:r w:rsidRPr="000A2A1E">
        <w:rPr>
          <w:lang w:val="en-AU"/>
        </w:rPr>
        <w:t>of</w:t>
      </w:r>
      <w:r w:rsidRPr="000A2A1E">
        <w:rPr>
          <w:spacing w:val="-17"/>
          <w:lang w:val="en-AU"/>
        </w:rPr>
        <w:t xml:space="preserve"> </w:t>
      </w:r>
      <w:r w:rsidRPr="000A2A1E">
        <w:rPr>
          <w:lang w:val="en-AU"/>
        </w:rPr>
        <w:t>Education.</w:t>
      </w:r>
      <w:r w:rsidRPr="000A2A1E">
        <w:rPr>
          <w:spacing w:val="-16"/>
          <w:lang w:val="en-AU"/>
        </w:rPr>
        <w:t xml:space="preserve"> </w:t>
      </w:r>
      <w:r w:rsidRPr="000A2A1E">
        <w:rPr>
          <w:lang w:val="en-AU"/>
        </w:rPr>
        <w:t>(2022).</w:t>
      </w:r>
      <w:r w:rsidRPr="000A2A1E">
        <w:rPr>
          <w:spacing w:val="-16"/>
          <w:lang w:val="en-AU"/>
        </w:rPr>
        <w:t xml:space="preserve"> </w:t>
      </w:r>
      <w:r w:rsidRPr="000A2A1E">
        <w:rPr>
          <w:i/>
          <w:lang w:val="en-AU"/>
        </w:rPr>
        <w:t>Karakterstatistikk</w:t>
      </w:r>
      <w:r w:rsidRPr="000A2A1E">
        <w:rPr>
          <w:i/>
          <w:spacing w:val="-18"/>
          <w:lang w:val="en-AU"/>
        </w:rPr>
        <w:t xml:space="preserve"> </w:t>
      </w:r>
      <w:r w:rsidRPr="000A2A1E">
        <w:rPr>
          <w:i/>
          <w:lang w:val="en-AU"/>
        </w:rPr>
        <w:t>for</w:t>
      </w:r>
      <w:r w:rsidRPr="000A2A1E">
        <w:rPr>
          <w:i/>
          <w:spacing w:val="-17"/>
          <w:lang w:val="en-AU"/>
        </w:rPr>
        <w:t xml:space="preserve"> </w:t>
      </w:r>
      <w:r w:rsidRPr="000A2A1E">
        <w:rPr>
          <w:i/>
          <w:lang w:val="en-AU"/>
        </w:rPr>
        <w:t>videregående</w:t>
      </w:r>
      <w:r w:rsidRPr="000A2A1E">
        <w:rPr>
          <w:i/>
          <w:spacing w:val="-18"/>
          <w:lang w:val="en-AU"/>
        </w:rPr>
        <w:t xml:space="preserve"> </w:t>
      </w:r>
      <w:r w:rsidRPr="000A2A1E">
        <w:rPr>
          <w:i/>
          <w:lang w:val="en-AU"/>
        </w:rPr>
        <w:t>skole</w:t>
      </w:r>
      <w:r w:rsidRPr="000A2A1E">
        <w:rPr>
          <w:i/>
          <w:spacing w:val="-18"/>
          <w:lang w:val="en-AU"/>
        </w:rPr>
        <w:t xml:space="preserve"> </w:t>
      </w:r>
      <w:r w:rsidRPr="000A2A1E">
        <w:rPr>
          <w:lang w:val="en-AU"/>
        </w:rPr>
        <w:t>[Grade</w:t>
      </w:r>
      <w:r w:rsidRPr="000A2A1E">
        <w:rPr>
          <w:spacing w:val="-71"/>
          <w:lang w:val="en-AU"/>
        </w:rPr>
        <w:t xml:space="preserve"> </w:t>
      </w:r>
      <w:r w:rsidRPr="000A2A1E">
        <w:rPr>
          <w:lang w:val="en-AU"/>
        </w:rPr>
        <w:t>statistics for upper secondary school]. Utdanni</w:t>
      </w:r>
      <w:r w:rsidRPr="000A2A1E">
        <w:rPr>
          <w:lang w:val="en-AU"/>
        </w:rPr>
        <w:t>ngsdirektoratet.</w:t>
      </w:r>
      <w:r w:rsidRPr="000A2A1E">
        <w:rPr>
          <w:spacing w:val="1"/>
          <w:lang w:val="en-AU"/>
        </w:rPr>
        <w:t xml:space="preserve"> </w:t>
      </w:r>
      <w:hyperlink r:id="rId13">
        <w:r w:rsidRPr="000A2A1E">
          <w:rPr>
            <w:color w:val="0000FF"/>
            <w:lang w:val="en-AU"/>
          </w:rPr>
          <w:t>https://www.udir.no/tall-og-forskning/statistikk/statistikk-videregaende-</w:t>
        </w:r>
      </w:hyperlink>
      <w:r w:rsidRPr="000A2A1E">
        <w:rPr>
          <w:color w:val="0000FF"/>
          <w:spacing w:val="1"/>
          <w:lang w:val="en-AU"/>
        </w:rPr>
        <w:t xml:space="preserve"> </w:t>
      </w:r>
      <w:hyperlink r:id="rId14">
        <w:bookmarkStart w:id="15" w:name="_bookmark9"/>
        <w:bookmarkEnd w:id="15"/>
        <w:r w:rsidRPr="000A2A1E">
          <w:rPr>
            <w:color w:val="0000FF"/>
            <w:lang w:val="en-AU"/>
          </w:rPr>
          <w:t>skole/karakterer-vgs/</w:t>
        </w:r>
      </w:hyperlink>
    </w:p>
    <w:p w14:paraId="095E5769" w14:textId="77777777" w:rsidR="00A57402" w:rsidRPr="000A2A1E" w:rsidRDefault="000A2A1E">
      <w:pPr>
        <w:spacing w:line="345" w:lineRule="auto"/>
        <w:ind w:left="839" w:right="196" w:hanging="720"/>
        <w:rPr>
          <w:lang w:val="en-AU"/>
        </w:rPr>
      </w:pPr>
      <w:r w:rsidRPr="000A2A1E">
        <w:rPr>
          <w:lang w:val="en-AU"/>
        </w:rPr>
        <w:t>Tierny,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R.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D.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(2017).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Fairness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educational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assessment.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In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M.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A.</w:t>
      </w:r>
      <w:r w:rsidRPr="000A2A1E">
        <w:rPr>
          <w:spacing w:val="-12"/>
          <w:lang w:val="en-AU"/>
        </w:rPr>
        <w:t xml:space="preserve"> </w:t>
      </w:r>
      <w:r w:rsidRPr="000A2A1E">
        <w:rPr>
          <w:lang w:val="en-AU"/>
        </w:rPr>
        <w:t>Peters</w:t>
      </w:r>
      <w:r w:rsidRPr="000A2A1E">
        <w:rPr>
          <w:spacing w:val="-11"/>
          <w:lang w:val="en-AU"/>
        </w:rPr>
        <w:t xml:space="preserve"> </w:t>
      </w:r>
      <w:r w:rsidRPr="000A2A1E">
        <w:rPr>
          <w:lang w:val="en-AU"/>
        </w:rPr>
        <w:t>(Ed.),</w:t>
      </w:r>
      <w:r w:rsidRPr="000A2A1E">
        <w:rPr>
          <w:spacing w:val="-14"/>
          <w:lang w:val="en-AU"/>
        </w:rPr>
        <w:t xml:space="preserve"> </w:t>
      </w:r>
      <w:r w:rsidRPr="000A2A1E">
        <w:rPr>
          <w:i/>
          <w:lang w:val="en-AU"/>
        </w:rPr>
        <w:t>Encyclopedia</w:t>
      </w:r>
      <w:r w:rsidRPr="000A2A1E">
        <w:rPr>
          <w:i/>
          <w:spacing w:val="-76"/>
          <w:lang w:val="en-AU"/>
        </w:rPr>
        <w:t xml:space="preserve"> </w:t>
      </w:r>
      <w:r w:rsidRPr="000A2A1E">
        <w:rPr>
          <w:i/>
          <w:lang w:val="en-AU"/>
        </w:rPr>
        <w:t xml:space="preserve">of educational philosophy and theory </w:t>
      </w:r>
      <w:r w:rsidRPr="000A2A1E">
        <w:rPr>
          <w:lang w:val="en-AU"/>
        </w:rPr>
        <w:t>(pp. 793–798). Springer.</w:t>
      </w:r>
      <w:r w:rsidRPr="000A2A1E">
        <w:rPr>
          <w:spacing w:val="1"/>
          <w:lang w:val="en-AU"/>
        </w:rPr>
        <w:t xml:space="preserve"> </w:t>
      </w:r>
      <w:hyperlink r:id="rId15">
        <w:r w:rsidRPr="000A2A1E">
          <w:rPr>
            <w:color w:val="0000FF"/>
            <w:lang w:val="en-AU"/>
          </w:rPr>
          <w:t>https://doi.org/10.1007/978-981-287-588-4_400</w:t>
        </w:r>
      </w:hyperlink>
    </w:p>
    <w:sectPr w:rsidR="00A57402" w:rsidRPr="000A2A1E">
      <w:pgSz w:w="11910" w:h="16840"/>
      <w:pgMar w:top="1380" w:right="1320" w:bottom="280" w:left="1320" w:header="6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9F16B" w14:textId="77777777" w:rsidR="00000000" w:rsidRDefault="000A2A1E">
      <w:r>
        <w:separator/>
      </w:r>
    </w:p>
  </w:endnote>
  <w:endnote w:type="continuationSeparator" w:id="0">
    <w:p w14:paraId="510AFCE5" w14:textId="77777777" w:rsidR="00000000" w:rsidRDefault="000A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LM Roman 10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0168" w14:textId="77777777" w:rsidR="00000000" w:rsidRDefault="000A2A1E">
      <w:r>
        <w:separator/>
      </w:r>
    </w:p>
  </w:footnote>
  <w:footnote w:type="continuationSeparator" w:id="0">
    <w:p w14:paraId="1C2C662B" w14:textId="77777777" w:rsidR="00000000" w:rsidRDefault="000A2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BDC5" w14:textId="77777777" w:rsidR="00A57402" w:rsidRDefault="000A2A1E">
    <w:pPr>
      <w:pStyle w:val="BodyText"/>
      <w:spacing w:line="14" w:lineRule="auto"/>
      <w:ind w:left="0"/>
      <w:rPr>
        <w:sz w:val="20"/>
      </w:rPr>
    </w:pPr>
    <w:r>
      <w:pict w14:anchorId="2E2DBB6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4.8pt;margin-top:32.9pt;width:12.5pt;height:17.5pt;z-index:-251658752;mso-position-horizontal-relative:page;mso-position-vertical-relative:page" filled="f" stroked="f">
          <v:textbox inset="0,0,0,0">
            <w:txbxContent>
              <w:p w14:paraId="2B7AF01A" w14:textId="77777777" w:rsidR="00A57402" w:rsidRDefault="000A2A1E">
                <w:pPr>
                  <w:pStyle w:val="BodyText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402"/>
    <w:rsid w:val="000A2A1E"/>
    <w:rsid w:val="00A5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5A23D"/>
  <w15:docId w15:val="{C0439E5B-0744-443C-A799-7D70B011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50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1-4020-9964-9_6" TargetMode="External"/><Relationship Id="rId13" Type="http://schemas.openxmlformats.org/officeDocument/2006/relationships/hyperlink" Target="https://www.udir.no/tall-og-forskning/statistikk/statistikk-videregaende-skole/karakterer-vg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4324/9781351018142-3" TargetMode="External"/><Relationship Id="rId12" Type="http://schemas.openxmlformats.org/officeDocument/2006/relationships/hyperlink" Target="https://doi.org/10.1111/j.1745-3984.2007.00057.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doi.org/10.1111/jedm.1200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07/978-981-287-588-4_400" TargetMode="External"/><Relationship Id="rId10" Type="http://schemas.openxmlformats.org/officeDocument/2006/relationships/hyperlink" Target="https://doi.org/10.1080/17457823.2013.76643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80/03054985.2018.1430562" TargetMode="External"/><Relationship Id="rId14" Type="http://schemas.openxmlformats.org/officeDocument/2006/relationships/hyperlink" Target="https://www.udir.no/tall-og-forskning/statistikk/statistikk-videregaende-skole/karakterer-v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Tan</cp:lastModifiedBy>
  <cp:revision>2</cp:revision>
  <dcterms:created xsi:type="dcterms:W3CDTF">2022-01-27T08:56:00Z</dcterms:created>
  <dcterms:modified xsi:type="dcterms:W3CDTF">2022-01-27T08:56:00Z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2022-01-27T00:00:00Z</vt:filetime>
  </property>
</Properties>
</file>