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65D8" w14:textId="77777777" w:rsidR="00AA7B7D" w:rsidRPr="004A6222" w:rsidRDefault="004A6222">
      <w:pPr>
        <w:pStyle w:val="Heading1"/>
        <w:ind w:left="4131" w:right="4111"/>
        <w:jc w:val="center"/>
        <w:rPr>
          <w:lang w:val="en-AU"/>
        </w:rPr>
      </w:pPr>
      <w:bookmarkStart w:id="0" w:name="Abstract"/>
      <w:bookmarkStart w:id="1" w:name="Research_Topic"/>
      <w:bookmarkStart w:id="2" w:name="_bookmark0"/>
      <w:bookmarkEnd w:id="0"/>
      <w:bookmarkEnd w:id="1"/>
      <w:bookmarkEnd w:id="2"/>
      <w:r w:rsidRPr="004A6222">
        <w:rPr>
          <w:lang w:val="en-AU"/>
        </w:rPr>
        <w:t>Abstract</w:t>
      </w:r>
    </w:p>
    <w:p w14:paraId="362DC2DF" w14:textId="77777777" w:rsidR="00AA7B7D" w:rsidRPr="004A6222" w:rsidRDefault="004A6222">
      <w:pPr>
        <w:spacing w:before="188"/>
        <w:ind w:left="120"/>
        <w:rPr>
          <w:b/>
          <w:lang w:val="en-AU"/>
        </w:rPr>
      </w:pPr>
      <w:r w:rsidRPr="004A6222">
        <w:rPr>
          <w:b/>
          <w:spacing w:val="-1"/>
          <w:lang w:val="en-AU"/>
        </w:rPr>
        <w:t>Research</w:t>
      </w:r>
      <w:r w:rsidRPr="004A6222">
        <w:rPr>
          <w:b/>
          <w:spacing w:val="-20"/>
          <w:lang w:val="en-AU"/>
        </w:rPr>
        <w:t xml:space="preserve"> </w:t>
      </w:r>
      <w:r w:rsidRPr="004A6222">
        <w:rPr>
          <w:b/>
          <w:spacing w:val="-1"/>
          <w:lang w:val="en-AU"/>
        </w:rPr>
        <w:t>Topic</w:t>
      </w:r>
    </w:p>
    <w:p w14:paraId="1499C6B7" w14:textId="77777777" w:rsidR="00AA7B7D" w:rsidRPr="004A6222" w:rsidRDefault="004A6222">
      <w:pPr>
        <w:pStyle w:val="BodyText"/>
        <w:spacing w:line="345" w:lineRule="auto"/>
        <w:ind w:right="23"/>
        <w:rPr>
          <w:lang w:val="en-AU"/>
        </w:rPr>
      </w:pPr>
      <w:r w:rsidRPr="004A6222">
        <w:rPr>
          <w:lang w:val="en-AU"/>
        </w:rPr>
        <w:t>The</w:t>
      </w:r>
      <w:r w:rsidRPr="004A6222">
        <w:rPr>
          <w:spacing w:val="-17"/>
          <w:lang w:val="en-AU"/>
        </w:rPr>
        <w:t xml:space="preserve"> </w:t>
      </w:r>
      <w:r w:rsidRPr="004A6222">
        <w:rPr>
          <w:lang w:val="en-AU"/>
        </w:rPr>
        <w:t>Grade</w:t>
      </w:r>
      <w:r w:rsidRPr="004A6222">
        <w:rPr>
          <w:spacing w:val="-16"/>
          <w:lang w:val="en-AU"/>
        </w:rPr>
        <w:t xml:space="preserve"> </w:t>
      </w:r>
      <w:r w:rsidRPr="004A6222">
        <w:rPr>
          <w:lang w:val="en-AU"/>
        </w:rPr>
        <w:t>Point</w:t>
      </w:r>
      <w:r w:rsidRPr="004A6222">
        <w:rPr>
          <w:spacing w:val="-16"/>
          <w:lang w:val="en-AU"/>
        </w:rPr>
        <w:t xml:space="preserve"> </w:t>
      </w:r>
      <w:r w:rsidRPr="004A6222">
        <w:rPr>
          <w:lang w:val="en-AU"/>
        </w:rPr>
        <w:t>Average</w:t>
      </w:r>
      <w:r w:rsidRPr="004A6222">
        <w:rPr>
          <w:spacing w:val="-16"/>
          <w:lang w:val="en-AU"/>
        </w:rPr>
        <w:t xml:space="preserve"> </w:t>
      </w:r>
      <w:r w:rsidRPr="004A6222">
        <w:rPr>
          <w:lang w:val="en-AU"/>
        </w:rPr>
        <w:t>(GPA,</w:t>
      </w:r>
      <w:r w:rsidRPr="004A6222">
        <w:rPr>
          <w:spacing w:val="-17"/>
          <w:lang w:val="en-AU"/>
        </w:rPr>
        <w:t xml:space="preserve"> </w:t>
      </w:r>
      <w:proofErr w:type="spellStart"/>
      <w:r w:rsidRPr="004A6222">
        <w:rPr>
          <w:i/>
          <w:lang w:val="en-AU"/>
        </w:rPr>
        <w:t>skolepoeng</w:t>
      </w:r>
      <w:proofErr w:type="spellEnd"/>
      <w:r w:rsidRPr="004A6222">
        <w:rPr>
          <w:i/>
          <w:spacing w:val="-12"/>
          <w:lang w:val="en-AU"/>
        </w:rPr>
        <w:t xml:space="preserve"> </w:t>
      </w:r>
      <w:r w:rsidRPr="004A6222">
        <w:rPr>
          <w:lang w:val="en-AU"/>
        </w:rPr>
        <w:t>in</w:t>
      </w:r>
      <w:r w:rsidRPr="004A6222">
        <w:rPr>
          <w:spacing w:val="-16"/>
          <w:lang w:val="en-AU"/>
        </w:rPr>
        <w:t xml:space="preserve"> </w:t>
      </w:r>
      <w:r w:rsidRPr="004A6222">
        <w:rPr>
          <w:lang w:val="en-AU"/>
        </w:rPr>
        <w:t>Norwegian)</w:t>
      </w:r>
      <w:r w:rsidRPr="004A6222">
        <w:rPr>
          <w:spacing w:val="-16"/>
          <w:lang w:val="en-AU"/>
        </w:rPr>
        <w:t xml:space="preserve"> </w:t>
      </w:r>
      <w:r w:rsidRPr="004A6222">
        <w:rPr>
          <w:lang w:val="en-AU"/>
        </w:rPr>
        <w:t>plays</w:t>
      </w:r>
      <w:r w:rsidRPr="004A6222">
        <w:rPr>
          <w:spacing w:val="-16"/>
          <w:lang w:val="en-AU"/>
        </w:rPr>
        <w:t xml:space="preserve"> </w:t>
      </w:r>
      <w:r w:rsidRPr="004A6222">
        <w:rPr>
          <w:lang w:val="en-AU"/>
        </w:rPr>
        <w:t>a</w:t>
      </w:r>
      <w:r w:rsidRPr="004A6222">
        <w:rPr>
          <w:spacing w:val="-16"/>
          <w:lang w:val="en-AU"/>
        </w:rPr>
        <w:t xml:space="preserve"> </w:t>
      </w:r>
      <w:r w:rsidRPr="004A6222">
        <w:rPr>
          <w:lang w:val="en-AU"/>
        </w:rPr>
        <w:t>determining</w:t>
      </w:r>
      <w:r w:rsidRPr="004A6222">
        <w:rPr>
          <w:spacing w:val="-16"/>
          <w:lang w:val="en-AU"/>
        </w:rPr>
        <w:t xml:space="preserve"> </w:t>
      </w:r>
      <w:r w:rsidRPr="004A6222">
        <w:rPr>
          <w:lang w:val="en-AU"/>
        </w:rPr>
        <w:t>role</w:t>
      </w:r>
      <w:r w:rsidRPr="004A6222">
        <w:rPr>
          <w:spacing w:val="-16"/>
          <w:lang w:val="en-AU"/>
        </w:rPr>
        <w:t xml:space="preserve"> </w:t>
      </w:r>
      <w:r w:rsidRPr="004A6222">
        <w:rPr>
          <w:lang w:val="en-AU"/>
        </w:rPr>
        <w:t>in</w:t>
      </w:r>
      <w:r w:rsidRPr="004A6222">
        <w:rPr>
          <w:spacing w:val="-71"/>
          <w:lang w:val="en-AU"/>
        </w:rPr>
        <w:t xml:space="preserve"> </w:t>
      </w:r>
      <w:bookmarkStart w:id="3" w:name="_bookmark1"/>
      <w:bookmarkEnd w:id="3"/>
      <w:r w:rsidRPr="004A6222">
        <w:rPr>
          <w:lang w:val="en-AU"/>
        </w:rPr>
        <w:t>Nor</w:t>
      </w:r>
      <w:r w:rsidRPr="004A6222">
        <w:rPr>
          <w:lang w:val="en-AU"/>
        </w:rPr>
        <w:t>way’s tertiary admission process. The academic track in Norwegian upper secondary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education offers students a set of compulsory joint core subjects as well as a wide range of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elective subjects for different specialisations. Since different elective subject</w:t>
      </w:r>
      <w:r w:rsidRPr="004A6222">
        <w:rPr>
          <w:lang w:val="en-AU"/>
        </w:rPr>
        <w:t>s are treated</w:t>
      </w:r>
      <w:r w:rsidRPr="004A6222">
        <w:rPr>
          <w:spacing w:val="1"/>
          <w:lang w:val="en-AU"/>
        </w:rPr>
        <w:t xml:space="preserve"> </w:t>
      </w:r>
      <w:bookmarkStart w:id="4" w:name="_bookmark3"/>
      <w:bookmarkEnd w:id="4"/>
      <w:r w:rsidRPr="004A6222">
        <w:rPr>
          <w:i/>
          <w:lang w:val="en-AU"/>
        </w:rPr>
        <w:t xml:space="preserve">equally </w:t>
      </w:r>
      <w:r w:rsidRPr="004A6222">
        <w:rPr>
          <w:lang w:val="en-AU"/>
        </w:rPr>
        <w:t>in its calculation, GPA implicitly assumes that grades across different specialised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 xml:space="preserve">subjects are </w:t>
      </w:r>
      <w:r w:rsidRPr="004A6222">
        <w:rPr>
          <w:i/>
          <w:lang w:val="en-AU"/>
        </w:rPr>
        <w:t xml:space="preserve">equivalent </w:t>
      </w:r>
      <w:r w:rsidRPr="004A6222">
        <w:rPr>
          <w:lang w:val="en-AU"/>
        </w:rPr>
        <w:t>indicators of students’ preparedness for higher education—an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assumption that remains untested and questioned by descriptive st</w:t>
      </w:r>
      <w:r w:rsidRPr="004A6222">
        <w:rPr>
          <w:lang w:val="en-AU"/>
        </w:rPr>
        <w:t>atistics</w:t>
      </w:r>
      <w:r w:rsidRPr="004A6222">
        <w:rPr>
          <w:spacing w:val="1"/>
          <w:lang w:val="en-AU"/>
        </w:rPr>
        <w:t xml:space="preserve"> </w:t>
      </w:r>
      <w:bookmarkStart w:id="5" w:name="_bookmark2"/>
      <w:bookmarkEnd w:id="5"/>
      <w:r w:rsidRPr="004A6222">
        <w:rPr>
          <w:lang w:val="en-AU"/>
        </w:rPr>
        <w:t>(</w:t>
      </w:r>
      <w:proofErr w:type="spellStart"/>
      <w:r w:rsidRPr="004A6222">
        <w:rPr>
          <w:lang w:val="en-AU"/>
        </w:rPr>
        <w:t>Utdanningsdirektoratet</w:t>
      </w:r>
      <w:proofErr w:type="spellEnd"/>
      <w:r w:rsidRPr="004A6222">
        <w:rPr>
          <w:lang w:val="en-AU"/>
        </w:rPr>
        <w:t xml:space="preserve">, </w:t>
      </w:r>
      <w:hyperlink w:anchor="_bookmark8" w:history="1">
        <w:r w:rsidRPr="004A6222">
          <w:rPr>
            <w:color w:val="0000FF"/>
            <w:lang w:val="en-AU"/>
          </w:rPr>
          <w:t>2022</w:t>
        </w:r>
      </w:hyperlink>
      <w:r w:rsidRPr="004A6222">
        <w:rPr>
          <w:lang w:val="en-AU"/>
        </w:rPr>
        <w:t>). This paper focuses on the comparability of difficulty levels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across subjects to provide a test of the hidden assumption in the current procedure for</w:t>
      </w:r>
      <w:bookmarkStart w:id="6" w:name="Theoretical_Framework"/>
      <w:bookmarkEnd w:id="6"/>
      <w:r w:rsidRPr="004A6222">
        <w:rPr>
          <w:spacing w:val="1"/>
          <w:lang w:val="en-AU"/>
        </w:rPr>
        <w:t xml:space="preserve"> </w:t>
      </w:r>
      <w:bookmarkStart w:id="7" w:name="_bookmark4"/>
      <w:bookmarkEnd w:id="7"/>
      <w:r w:rsidRPr="004A6222">
        <w:rPr>
          <w:lang w:val="en-AU"/>
        </w:rPr>
        <w:t>producing</w:t>
      </w:r>
      <w:r w:rsidRPr="004A6222">
        <w:rPr>
          <w:spacing w:val="-2"/>
          <w:lang w:val="en-AU"/>
        </w:rPr>
        <w:t xml:space="preserve"> </w:t>
      </w:r>
      <w:r w:rsidRPr="004A6222">
        <w:rPr>
          <w:lang w:val="en-AU"/>
        </w:rPr>
        <w:t>the</w:t>
      </w:r>
      <w:r w:rsidRPr="004A6222">
        <w:rPr>
          <w:spacing w:val="-1"/>
          <w:lang w:val="en-AU"/>
        </w:rPr>
        <w:t xml:space="preserve"> </w:t>
      </w:r>
      <w:r w:rsidRPr="004A6222">
        <w:rPr>
          <w:lang w:val="en-AU"/>
        </w:rPr>
        <w:t>GPA.</w:t>
      </w:r>
    </w:p>
    <w:p w14:paraId="6A691BD1" w14:textId="77777777" w:rsidR="00AA7B7D" w:rsidRPr="004A6222" w:rsidRDefault="004A6222">
      <w:pPr>
        <w:pStyle w:val="Heading1"/>
        <w:spacing w:before="49"/>
        <w:ind w:left="119"/>
        <w:rPr>
          <w:lang w:val="en-AU"/>
        </w:rPr>
      </w:pPr>
      <w:r w:rsidRPr="004A6222">
        <w:rPr>
          <w:spacing w:val="-1"/>
          <w:lang w:val="en-AU"/>
        </w:rPr>
        <w:t>Theoretical</w:t>
      </w:r>
      <w:r w:rsidRPr="004A6222">
        <w:rPr>
          <w:spacing w:val="-19"/>
          <w:lang w:val="en-AU"/>
        </w:rPr>
        <w:t xml:space="preserve"> </w:t>
      </w:r>
      <w:r w:rsidRPr="004A6222">
        <w:rPr>
          <w:spacing w:val="-1"/>
          <w:lang w:val="en-AU"/>
        </w:rPr>
        <w:t>Frame</w:t>
      </w:r>
      <w:r w:rsidRPr="004A6222">
        <w:rPr>
          <w:spacing w:val="-1"/>
          <w:lang w:val="en-AU"/>
        </w:rPr>
        <w:t>work</w:t>
      </w:r>
    </w:p>
    <w:p w14:paraId="5D5D09C0" w14:textId="77777777" w:rsidR="00AA7B7D" w:rsidRPr="004A6222" w:rsidRDefault="004A6222">
      <w:pPr>
        <w:pStyle w:val="BodyText"/>
        <w:spacing w:before="189" w:line="345" w:lineRule="auto"/>
        <w:rPr>
          <w:lang w:val="en-AU"/>
        </w:rPr>
      </w:pPr>
      <w:r w:rsidRPr="004A6222">
        <w:rPr>
          <w:lang w:val="en-AU"/>
        </w:rPr>
        <w:t>Fairness is both an essential and an elusive integral of educational assessment.</w:t>
      </w:r>
      <w:r w:rsidRPr="004A6222">
        <w:rPr>
          <w:spacing w:val="1"/>
          <w:lang w:val="en-AU"/>
        </w:rPr>
        <w:t xml:space="preserve"> </w:t>
      </w:r>
      <w:bookmarkStart w:id="8" w:name="_bookmark5"/>
      <w:bookmarkEnd w:id="8"/>
      <w:r w:rsidRPr="004A6222">
        <w:rPr>
          <w:lang w:val="en-AU"/>
        </w:rPr>
        <w:t>Following Gipps and Stobart’s (</w:t>
      </w:r>
      <w:hyperlink w:anchor="_bookmark1" w:history="1">
        <w:r w:rsidRPr="004A6222">
          <w:rPr>
            <w:color w:val="0000FF"/>
            <w:lang w:val="en-AU"/>
          </w:rPr>
          <w:t>2009</w:t>
        </w:r>
      </w:hyperlink>
      <w:r w:rsidRPr="004A6222">
        <w:rPr>
          <w:lang w:val="en-AU"/>
        </w:rPr>
        <w:t>) social-cultural framing of assessment fairness and</w:t>
      </w:r>
      <w:r w:rsidRPr="004A6222">
        <w:rPr>
          <w:spacing w:val="1"/>
          <w:lang w:val="en-AU"/>
        </w:rPr>
        <w:t xml:space="preserve"> </w:t>
      </w:r>
      <w:proofErr w:type="spellStart"/>
      <w:r w:rsidRPr="004A6222">
        <w:rPr>
          <w:lang w:val="en-AU"/>
        </w:rPr>
        <w:t>Tierny’s</w:t>
      </w:r>
      <w:proofErr w:type="spellEnd"/>
      <w:r w:rsidRPr="004A6222">
        <w:rPr>
          <w:spacing w:val="-13"/>
          <w:lang w:val="en-AU"/>
        </w:rPr>
        <w:t xml:space="preserve"> </w:t>
      </w:r>
      <w:r w:rsidRPr="004A6222">
        <w:rPr>
          <w:lang w:val="en-AU"/>
        </w:rPr>
        <w:t>(</w:t>
      </w:r>
      <w:hyperlink w:anchor="_bookmark7" w:history="1">
        <w:r w:rsidRPr="004A6222">
          <w:rPr>
            <w:color w:val="0000FF"/>
            <w:lang w:val="en-AU"/>
          </w:rPr>
          <w:t>2017</w:t>
        </w:r>
      </w:hyperlink>
      <w:r w:rsidRPr="004A6222">
        <w:rPr>
          <w:lang w:val="en-AU"/>
        </w:rPr>
        <w:t>)</w:t>
      </w:r>
      <w:r w:rsidRPr="004A6222">
        <w:rPr>
          <w:spacing w:val="-13"/>
          <w:lang w:val="en-AU"/>
        </w:rPr>
        <w:t xml:space="preserve"> </w:t>
      </w:r>
      <w:r w:rsidRPr="004A6222">
        <w:rPr>
          <w:lang w:val="en-AU"/>
        </w:rPr>
        <w:t>democratic–measurement–pedagogical</w:t>
      </w:r>
      <w:r w:rsidRPr="004A6222">
        <w:rPr>
          <w:spacing w:val="-13"/>
          <w:lang w:val="en-AU"/>
        </w:rPr>
        <w:t xml:space="preserve"> </w:t>
      </w:r>
      <w:r w:rsidRPr="004A6222">
        <w:rPr>
          <w:lang w:val="en-AU"/>
        </w:rPr>
        <w:t>construction,</w:t>
      </w:r>
      <w:r w:rsidRPr="004A6222">
        <w:rPr>
          <w:spacing w:val="-13"/>
          <w:lang w:val="en-AU"/>
        </w:rPr>
        <w:t xml:space="preserve"> </w:t>
      </w:r>
      <w:r w:rsidRPr="004A6222">
        <w:rPr>
          <w:lang w:val="en-AU"/>
        </w:rPr>
        <w:t>the</w:t>
      </w:r>
      <w:r w:rsidRPr="004A6222">
        <w:rPr>
          <w:spacing w:val="-13"/>
          <w:lang w:val="en-AU"/>
        </w:rPr>
        <w:t xml:space="preserve"> </w:t>
      </w:r>
      <w:r w:rsidRPr="004A6222">
        <w:rPr>
          <w:lang w:val="en-AU"/>
        </w:rPr>
        <w:t>current</w:t>
      </w:r>
      <w:r w:rsidRPr="004A6222">
        <w:rPr>
          <w:spacing w:val="-13"/>
          <w:lang w:val="en-AU"/>
        </w:rPr>
        <w:t xml:space="preserve"> </w:t>
      </w:r>
      <w:r w:rsidRPr="004A6222">
        <w:rPr>
          <w:lang w:val="en-AU"/>
        </w:rPr>
        <w:t>study</w:t>
      </w:r>
      <w:r w:rsidRPr="004A6222">
        <w:rPr>
          <w:spacing w:val="-12"/>
          <w:lang w:val="en-AU"/>
        </w:rPr>
        <w:t xml:space="preserve"> </w:t>
      </w:r>
      <w:r w:rsidRPr="004A6222">
        <w:rPr>
          <w:lang w:val="en-AU"/>
        </w:rPr>
        <w:t>models</w:t>
      </w:r>
      <w:r w:rsidRPr="004A6222">
        <w:rPr>
          <w:spacing w:val="-71"/>
          <w:lang w:val="en-AU"/>
        </w:rPr>
        <w:t xml:space="preserve"> </w:t>
      </w:r>
      <w:bookmarkStart w:id="9" w:name="_bookmark6"/>
      <w:bookmarkEnd w:id="9"/>
      <w:r w:rsidRPr="004A6222">
        <w:rPr>
          <w:lang w:val="en-AU"/>
        </w:rPr>
        <w:t xml:space="preserve">GPA as a </w:t>
      </w:r>
      <w:r w:rsidRPr="004A6222">
        <w:rPr>
          <w:i/>
          <w:lang w:val="en-AU"/>
        </w:rPr>
        <w:t xml:space="preserve">selection </w:t>
      </w:r>
      <w:r w:rsidRPr="004A6222">
        <w:rPr>
          <w:lang w:val="en-AU"/>
        </w:rPr>
        <w:t xml:space="preserve">device (Kane, </w:t>
      </w:r>
      <w:hyperlink w:anchor="_bookmark2" w:history="1">
        <w:r w:rsidRPr="004A6222">
          <w:rPr>
            <w:color w:val="0000FF"/>
            <w:lang w:val="en-AU"/>
          </w:rPr>
          <w:t>2013</w:t>
        </w:r>
      </w:hyperlink>
      <w:r w:rsidRPr="004A6222">
        <w:rPr>
          <w:lang w:val="en-AU"/>
        </w:rPr>
        <w:t>) for accessing privileged social resources (Bourdieu,</w:t>
      </w:r>
      <w:r w:rsidRPr="004A6222">
        <w:rPr>
          <w:spacing w:val="1"/>
          <w:lang w:val="en-AU"/>
        </w:rPr>
        <w:t xml:space="preserve"> </w:t>
      </w:r>
      <w:hyperlink w:anchor="_bookmark0" w:history="1">
        <w:r w:rsidRPr="004A6222">
          <w:rPr>
            <w:color w:val="0000FF"/>
            <w:lang w:val="en-AU"/>
          </w:rPr>
          <w:t>1973</w:t>
        </w:r>
      </w:hyperlink>
      <w:r w:rsidRPr="004A6222">
        <w:rPr>
          <w:lang w:val="en-AU"/>
        </w:rPr>
        <w:t>). It addresses the construct validity of GPAs by examining any construct-irrelevant</w:t>
      </w:r>
      <w:r w:rsidRPr="004A6222">
        <w:rPr>
          <w:spacing w:val="1"/>
          <w:lang w:val="en-AU"/>
        </w:rPr>
        <w:t xml:space="preserve"> </w:t>
      </w:r>
      <w:bookmarkStart w:id="10" w:name="Methodology"/>
      <w:bookmarkEnd w:id="10"/>
      <w:r w:rsidRPr="004A6222">
        <w:rPr>
          <w:lang w:val="en-AU"/>
        </w:rPr>
        <w:t>variance</w:t>
      </w:r>
      <w:r w:rsidRPr="004A6222">
        <w:rPr>
          <w:spacing w:val="-3"/>
          <w:lang w:val="en-AU"/>
        </w:rPr>
        <w:t xml:space="preserve"> </w:t>
      </w:r>
      <w:r w:rsidRPr="004A6222">
        <w:rPr>
          <w:lang w:val="en-AU"/>
        </w:rPr>
        <w:t>(Messick,</w:t>
      </w:r>
      <w:r w:rsidRPr="004A6222">
        <w:rPr>
          <w:spacing w:val="-3"/>
          <w:lang w:val="en-AU"/>
        </w:rPr>
        <w:t xml:space="preserve"> </w:t>
      </w:r>
      <w:hyperlink w:anchor="_bookmark5" w:history="1">
        <w:r w:rsidRPr="004A6222">
          <w:rPr>
            <w:color w:val="0000FF"/>
            <w:lang w:val="en-AU"/>
          </w:rPr>
          <w:t>1989</w:t>
        </w:r>
      </w:hyperlink>
      <w:r w:rsidRPr="004A6222">
        <w:rPr>
          <w:lang w:val="en-AU"/>
        </w:rPr>
        <w:t>)</w:t>
      </w:r>
      <w:r w:rsidRPr="004A6222">
        <w:rPr>
          <w:spacing w:val="-3"/>
          <w:lang w:val="en-AU"/>
        </w:rPr>
        <w:t xml:space="preserve"> </w:t>
      </w:r>
      <w:r w:rsidRPr="004A6222">
        <w:rPr>
          <w:lang w:val="en-AU"/>
        </w:rPr>
        <w:t>related</w:t>
      </w:r>
      <w:r w:rsidRPr="004A6222">
        <w:rPr>
          <w:spacing w:val="-3"/>
          <w:lang w:val="en-AU"/>
        </w:rPr>
        <w:t xml:space="preserve"> </w:t>
      </w:r>
      <w:r w:rsidRPr="004A6222">
        <w:rPr>
          <w:lang w:val="en-AU"/>
        </w:rPr>
        <w:t>to</w:t>
      </w:r>
      <w:r w:rsidRPr="004A6222">
        <w:rPr>
          <w:spacing w:val="-3"/>
          <w:lang w:val="en-AU"/>
        </w:rPr>
        <w:t xml:space="preserve"> </w:t>
      </w:r>
      <w:r w:rsidRPr="004A6222">
        <w:rPr>
          <w:lang w:val="en-AU"/>
        </w:rPr>
        <w:t>students’</w:t>
      </w:r>
      <w:r w:rsidRPr="004A6222">
        <w:rPr>
          <w:spacing w:val="-2"/>
          <w:lang w:val="en-AU"/>
        </w:rPr>
        <w:t xml:space="preserve"> </w:t>
      </w:r>
      <w:r w:rsidRPr="004A6222">
        <w:rPr>
          <w:lang w:val="en-AU"/>
        </w:rPr>
        <w:t>subject</w:t>
      </w:r>
      <w:r w:rsidRPr="004A6222">
        <w:rPr>
          <w:spacing w:val="-3"/>
          <w:lang w:val="en-AU"/>
        </w:rPr>
        <w:t xml:space="preserve"> </w:t>
      </w:r>
      <w:r w:rsidRPr="004A6222">
        <w:rPr>
          <w:lang w:val="en-AU"/>
        </w:rPr>
        <w:t>choices.</w:t>
      </w:r>
    </w:p>
    <w:p w14:paraId="554BE902" w14:textId="77777777" w:rsidR="00AA7B7D" w:rsidRPr="004A6222" w:rsidRDefault="004A6222">
      <w:pPr>
        <w:pStyle w:val="Heading1"/>
        <w:spacing w:before="51"/>
        <w:ind w:left="119"/>
        <w:rPr>
          <w:lang w:val="en-AU"/>
        </w:rPr>
      </w:pPr>
      <w:bookmarkStart w:id="11" w:name="_bookmark7"/>
      <w:bookmarkEnd w:id="11"/>
      <w:r w:rsidRPr="004A6222">
        <w:rPr>
          <w:lang w:val="en-AU"/>
        </w:rPr>
        <w:t>Methodology</w:t>
      </w:r>
    </w:p>
    <w:p w14:paraId="5C36DEE5" w14:textId="77777777" w:rsidR="00AA7B7D" w:rsidRPr="004A6222" w:rsidRDefault="004A6222">
      <w:pPr>
        <w:pStyle w:val="BodyText"/>
        <w:spacing w:line="345" w:lineRule="auto"/>
        <w:ind w:right="23"/>
        <w:rPr>
          <w:lang w:val="en-AU"/>
        </w:rPr>
      </w:pPr>
      <w:r w:rsidRPr="004A6222">
        <w:rPr>
          <w:lang w:val="en-AU"/>
        </w:rPr>
        <w:t>Item response theory is particularly suitable for extracti</w:t>
      </w:r>
      <w:r w:rsidRPr="004A6222">
        <w:rPr>
          <w:lang w:val="en-AU"/>
        </w:rPr>
        <w:t>ng item difficulty information</w:t>
      </w:r>
      <w:r w:rsidRPr="004A6222">
        <w:rPr>
          <w:spacing w:val="-71"/>
          <w:lang w:val="en-AU"/>
        </w:rPr>
        <w:t xml:space="preserve"> </w:t>
      </w:r>
      <w:r w:rsidRPr="004A6222">
        <w:rPr>
          <w:lang w:val="en-AU"/>
        </w:rPr>
        <w:t>in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order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to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study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assessment’s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selection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fairness.</w:t>
      </w:r>
      <w:r w:rsidRPr="004A6222">
        <w:rPr>
          <w:spacing w:val="13"/>
          <w:lang w:val="en-AU"/>
        </w:rPr>
        <w:t xml:space="preserve"> </w:t>
      </w:r>
      <w:r w:rsidRPr="004A6222">
        <w:rPr>
          <w:lang w:val="en-AU"/>
        </w:rPr>
        <w:t>This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study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considers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each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GPA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subject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as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an</w:t>
      </w:r>
      <w:r w:rsidRPr="004A6222">
        <w:rPr>
          <w:spacing w:val="-71"/>
          <w:lang w:val="en-AU"/>
        </w:rPr>
        <w:t xml:space="preserve"> </w:t>
      </w:r>
      <w:bookmarkStart w:id="12" w:name="_bookmark8"/>
      <w:bookmarkEnd w:id="12"/>
      <w:r w:rsidRPr="004A6222">
        <w:rPr>
          <w:lang w:val="en-AU"/>
        </w:rPr>
        <w:t>item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and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each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candidate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as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a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person.</w:t>
      </w:r>
      <w:r w:rsidRPr="004A6222">
        <w:rPr>
          <w:spacing w:val="14"/>
          <w:lang w:val="en-AU"/>
        </w:rPr>
        <w:t xml:space="preserve"> </w:t>
      </w:r>
      <w:r w:rsidRPr="004A6222">
        <w:rPr>
          <w:lang w:val="en-AU"/>
        </w:rPr>
        <w:t>Using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marginal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maximum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likelihood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(MML)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estimation,</w:t>
      </w:r>
      <w:r w:rsidRPr="004A6222">
        <w:rPr>
          <w:spacing w:val="-71"/>
          <w:lang w:val="en-AU"/>
        </w:rPr>
        <w:t xml:space="preserve"> </w:t>
      </w:r>
      <w:r w:rsidRPr="004A6222">
        <w:rPr>
          <w:lang w:val="en-AU"/>
        </w:rPr>
        <w:t>the analyses will ascertain difficulty parameters for all major subjects in Norwegian upper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secondary schools. Registry data containing Norwegian students’ GPA performance in 2019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 xml:space="preserve">are first regularised by removing subjects with fewer than 1,000 candidates </w:t>
      </w:r>
      <w:r w:rsidRPr="004A6222">
        <w:rPr>
          <w:lang w:val="en-AU"/>
        </w:rPr>
        <w:t>and by only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including candidates who have received valid GPAs through upper secondary school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completions. Next, subject difficulty parameters will be extracted using generalised partial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credit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models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(GPCM,</w:t>
      </w:r>
      <w:r w:rsidRPr="004A6222">
        <w:rPr>
          <w:spacing w:val="-9"/>
          <w:lang w:val="en-AU"/>
        </w:rPr>
        <w:t xml:space="preserve"> </w:t>
      </w:r>
      <w:proofErr w:type="spellStart"/>
      <w:r w:rsidRPr="004A6222">
        <w:rPr>
          <w:lang w:val="en-AU"/>
        </w:rPr>
        <w:t>Muraki</w:t>
      </w:r>
      <w:proofErr w:type="spellEnd"/>
      <w:r w:rsidRPr="004A6222">
        <w:rPr>
          <w:lang w:val="en-AU"/>
        </w:rPr>
        <w:t>,</w:t>
      </w:r>
      <w:r w:rsidRPr="004A6222">
        <w:rPr>
          <w:spacing w:val="-10"/>
          <w:lang w:val="en-AU"/>
        </w:rPr>
        <w:t xml:space="preserve"> </w:t>
      </w:r>
      <w:hyperlink w:anchor="_bookmark6" w:history="1">
        <w:r w:rsidRPr="004A6222">
          <w:rPr>
            <w:color w:val="0000FF"/>
            <w:lang w:val="en-AU"/>
          </w:rPr>
          <w:t>1992</w:t>
        </w:r>
      </w:hyperlink>
      <w:r w:rsidRPr="004A6222">
        <w:rPr>
          <w:lang w:val="en-AU"/>
        </w:rPr>
        <w:t>).</w:t>
      </w:r>
      <w:r w:rsidRPr="004A6222">
        <w:rPr>
          <w:spacing w:val="12"/>
          <w:lang w:val="en-AU"/>
        </w:rPr>
        <w:t xml:space="preserve"> </w:t>
      </w:r>
      <w:r w:rsidRPr="004A6222">
        <w:rPr>
          <w:lang w:val="en-AU"/>
        </w:rPr>
        <w:t>Last</w:t>
      </w:r>
      <w:r w:rsidRPr="004A6222">
        <w:rPr>
          <w:lang w:val="en-AU"/>
        </w:rPr>
        <w:t>ly,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group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invariance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tests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are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applied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to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assess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the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extent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to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which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selection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bias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had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impacted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on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subject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difficulty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parameter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estimates.</w:t>
      </w:r>
    </w:p>
    <w:p w14:paraId="4011E9FB" w14:textId="77777777" w:rsidR="00AA7B7D" w:rsidRPr="004A6222" w:rsidRDefault="00AA7B7D">
      <w:pPr>
        <w:spacing w:line="345" w:lineRule="auto"/>
        <w:rPr>
          <w:lang w:val="en-AU"/>
        </w:rPr>
        <w:sectPr w:rsidR="00AA7B7D" w:rsidRPr="004A6222">
          <w:headerReference w:type="default" r:id="rId6"/>
          <w:type w:val="continuous"/>
          <w:pgSz w:w="11910" w:h="16840"/>
          <w:pgMar w:top="1380" w:right="1340" w:bottom="280" w:left="1320" w:header="678" w:footer="0" w:gutter="0"/>
          <w:pgNumType w:start="2"/>
          <w:cols w:space="720"/>
        </w:sectPr>
      </w:pPr>
    </w:p>
    <w:p w14:paraId="0A4A2684" w14:textId="77777777" w:rsidR="00AA7B7D" w:rsidRPr="004A6222" w:rsidRDefault="004A6222">
      <w:pPr>
        <w:pStyle w:val="Heading1"/>
        <w:rPr>
          <w:lang w:val="en-AU"/>
        </w:rPr>
      </w:pPr>
      <w:bookmarkStart w:id="13" w:name="Expected_Results"/>
      <w:bookmarkEnd w:id="13"/>
      <w:r w:rsidRPr="004A6222">
        <w:rPr>
          <w:lang w:val="en-AU"/>
        </w:rPr>
        <w:lastRenderedPageBreak/>
        <w:t>Expected</w:t>
      </w:r>
      <w:r w:rsidRPr="004A6222">
        <w:rPr>
          <w:spacing w:val="-20"/>
          <w:lang w:val="en-AU"/>
        </w:rPr>
        <w:t xml:space="preserve"> </w:t>
      </w:r>
      <w:r w:rsidRPr="004A6222">
        <w:rPr>
          <w:lang w:val="en-AU"/>
        </w:rPr>
        <w:t>Results</w:t>
      </w:r>
    </w:p>
    <w:p w14:paraId="59B451BF" w14:textId="77777777" w:rsidR="00AA7B7D" w:rsidRPr="004A6222" w:rsidRDefault="004A6222">
      <w:pPr>
        <w:pStyle w:val="BodyText"/>
        <w:spacing w:before="189" w:line="345" w:lineRule="auto"/>
        <w:ind w:left="120"/>
        <w:rPr>
          <w:lang w:val="en-AU"/>
        </w:rPr>
      </w:pPr>
      <w:r w:rsidRPr="004A6222">
        <w:rPr>
          <w:lang w:val="en-AU"/>
        </w:rPr>
        <w:t>The registry data set will be available for analysis in short time and the described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analyses</w:t>
      </w:r>
      <w:r w:rsidRPr="004A6222">
        <w:rPr>
          <w:spacing w:val="-11"/>
          <w:lang w:val="en-AU"/>
        </w:rPr>
        <w:t xml:space="preserve"> </w:t>
      </w:r>
      <w:r w:rsidRPr="004A6222">
        <w:rPr>
          <w:lang w:val="en-AU"/>
        </w:rPr>
        <w:t>will</w:t>
      </w:r>
      <w:r w:rsidRPr="004A6222">
        <w:rPr>
          <w:spacing w:val="-11"/>
          <w:lang w:val="en-AU"/>
        </w:rPr>
        <w:t xml:space="preserve"> </w:t>
      </w:r>
      <w:r w:rsidRPr="004A6222">
        <w:rPr>
          <w:lang w:val="en-AU"/>
        </w:rPr>
        <w:t>be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presented</w:t>
      </w:r>
      <w:r w:rsidRPr="004A6222">
        <w:rPr>
          <w:spacing w:val="-11"/>
          <w:lang w:val="en-AU"/>
        </w:rPr>
        <w:t xml:space="preserve"> </w:t>
      </w:r>
      <w:r w:rsidRPr="004A6222">
        <w:rPr>
          <w:lang w:val="en-AU"/>
        </w:rPr>
        <w:t>and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discussed</w:t>
      </w:r>
      <w:r w:rsidRPr="004A6222">
        <w:rPr>
          <w:spacing w:val="-11"/>
          <w:lang w:val="en-AU"/>
        </w:rPr>
        <w:t xml:space="preserve"> </w:t>
      </w:r>
      <w:r w:rsidRPr="004A6222">
        <w:rPr>
          <w:lang w:val="en-AU"/>
        </w:rPr>
        <w:t>at</w:t>
      </w:r>
      <w:r w:rsidRPr="004A6222">
        <w:rPr>
          <w:spacing w:val="-11"/>
          <w:lang w:val="en-AU"/>
        </w:rPr>
        <w:t xml:space="preserve"> </w:t>
      </w:r>
      <w:r w:rsidRPr="004A6222">
        <w:rPr>
          <w:lang w:val="en-AU"/>
        </w:rPr>
        <w:t>the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conference.</w:t>
      </w:r>
      <w:r w:rsidRPr="004A6222">
        <w:rPr>
          <w:spacing w:val="10"/>
          <w:lang w:val="en-AU"/>
        </w:rPr>
        <w:t xml:space="preserve"> </w:t>
      </w:r>
      <w:r w:rsidRPr="004A6222">
        <w:rPr>
          <w:lang w:val="en-AU"/>
        </w:rPr>
        <w:t>We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expect</w:t>
      </w:r>
      <w:r w:rsidRPr="004A6222">
        <w:rPr>
          <w:spacing w:val="-11"/>
          <w:lang w:val="en-AU"/>
        </w:rPr>
        <w:t xml:space="preserve"> </w:t>
      </w:r>
      <w:r w:rsidRPr="004A6222">
        <w:rPr>
          <w:lang w:val="en-AU"/>
        </w:rPr>
        <w:t>Norway’s</w:t>
      </w:r>
      <w:r w:rsidRPr="004A6222">
        <w:rPr>
          <w:spacing w:val="-11"/>
          <w:lang w:val="en-AU"/>
        </w:rPr>
        <w:t xml:space="preserve"> </w:t>
      </w:r>
      <w:r w:rsidRPr="004A6222">
        <w:rPr>
          <w:lang w:val="en-AU"/>
        </w:rPr>
        <w:t>GPA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subjects</w:t>
      </w:r>
      <w:r w:rsidRPr="004A6222">
        <w:rPr>
          <w:spacing w:val="-70"/>
          <w:lang w:val="en-AU"/>
        </w:rPr>
        <w:t xml:space="preserve"> </w:t>
      </w:r>
      <w:r w:rsidRPr="004A6222">
        <w:rPr>
          <w:lang w:val="en-AU"/>
        </w:rPr>
        <w:t>to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differ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in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difficulties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(He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et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al.,</w:t>
      </w:r>
      <w:r w:rsidRPr="004A6222">
        <w:rPr>
          <w:spacing w:val="-8"/>
          <w:lang w:val="en-AU"/>
        </w:rPr>
        <w:t xml:space="preserve"> </w:t>
      </w:r>
      <w:hyperlink w:anchor="_bookmark3" w:history="1">
        <w:r w:rsidRPr="004A6222">
          <w:rPr>
            <w:color w:val="0000FF"/>
            <w:lang w:val="en-AU"/>
          </w:rPr>
          <w:t>2018</w:t>
        </w:r>
      </w:hyperlink>
      <w:r w:rsidRPr="004A6222">
        <w:rPr>
          <w:lang w:val="en-AU"/>
        </w:rPr>
        <w:t>)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and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to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exhibit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significant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selection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effects</w:t>
      </w:r>
      <w:r w:rsidRPr="004A6222">
        <w:rPr>
          <w:spacing w:val="-8"/>
          <w:lang w:val="en-AU"/>
        </w:rPr>
        <w:t xml:space="preserve"> </w:t>
      </w:r>
      <w:r w:rsidRPr="004A6222">
        <w:rPr>
          <w:lang w:val="en-AU"/>
        </w:rPr>
        <w:t>(</w:t>
      </w:r>
      <w:proofErr w:type="spellStart"/>
      <w:r w:rsidRPr="004A6222">
        <w:rPr>
          <w:lang w:val="en-AU"/>
        </w:rPr>
        <w:t>Korobko</w:t>
      </w:r>
      <w:proofErr w:type="spellEnd"/>
    </w:p>
    <w:p w14:paraId="75B0E446" w14:textId="77777777" w:rsidR="00AA7B7D" w:rsidRPr="004A6222" w:rsidRDefault="004A6222">
      <w:pPr>
        <w:pStyle w:val="BodyText"/>
        <w:spacing w:before="0" w:line="310" w:lineRule="exact"/>
        <w:ind w:left="120" w:firstLine="0"/>
        <w:rPr>
          <w:lang w:val="en-AU"/>
        </w:rPr>
      </w:pPr>
      <w:bookmarkStart w:id="14" w:name="Relevance_to_Nordic_Educational_Research"/>
      <w:bookmarkEnd w:id="14"/>
      <w:r w:rsidRPr="004A6222">
        <w:rPr>
          <w:lang w:val="en-AU"/>
        </w:rPr>
        <w:t>et</w:t>
      </w:r>
      <w:r w:rsidRPr="004A6222">
        <w:rPr>
          <w:spacing w:val="-7"/>
          <w:lang w:val="en-AU"/>
        </w:rPr>
        <w:t xml:space="preserve"> </w:t>
      </w:r>
      <w:r w:rsidRPr="004A6222">
        <w:rPr>
          <w:lang w:val="en-AU"/>
        </w:rPr>
        <w:t>al.,</w:t>
      </w:r>
      <w:r w:rsidRPr="004A6222">
        <w:rPr>
          <w:spacing w:val="-6"/>
          <w:lang w:val="en-AU"/>
        </w:rPr>
        <w:t xml:space="preserve"> </w:t>
      </w:r>
      <w:hyperlink w:anchor="_bookmark4" w:history="1">
        <w:r w:rsidRPr="004A6222">
          <w:rPr>
            <w:color w:val="0000FF"/>
            <w:lang w:val="en-AU"/>
          </w:rPr>
          <w:t>2008</w:t>
        </w:r>
      </w:hyperlink>
      <w:r w:rsidRPr="004A6222">
        <w:rPr>
          <w:lang w:val="en-AU"/>
        </w:rPr>
        <w:t>).</w:t>
      </w:r>
    </w:p>
    <w:p w14:paraId="1E32541B" w14:textId="77777777" w:rsidR="00AA7B7D" w:rsidRPr="004A6222" w:rsidRDefault="004A6222">
      <w:pPr>
        <w:pStyle w:val="Heading1"/>
        <w:spacing w:before="190"/>
        <w:rPr>
          <w:lang w:val="en-AU"/>
        </w:rPr>
      </w:pPr>
      <w:r w:rsidRPr="004A6222">
        <w:rPr>
          <w:lang w:val="en-AU"/>
        </w:rPr>
        <w:t>Relevance</w:t>
      </w:r>
      <w:r w:rsidRPr="004A6222">
        <w:rPr>
          <w:spacing w:val="-18"/>
          <w:lang w:val="en-AU"/>
        </w:rPr>
        <w:t xml:space="preserve"> </w:t>
      </w:r>
      <w:r w:rsidRPr="004A6222">
        <w:rPr>
          <w:lang w:val="en-AU"/>
        </w:rPr>
        <w:t>to</w:t>
      </w:r>
      <w:r w:rsidRPr="004A6222">
        <w:rPr>
          <w:spacing w:val="-17"/>
          <w:lang w:val="en-AU"/>
        </w:rPr>
        <w:t xml:space="preserve"> </w:t>
      </w:r>
      <w:r w:rsidRPr="004A6222">
        <w:rPr>
          <w:lang w:val="en-AU"/>
        </w:rPr>
        <w:t>Nordic</w:t>
      </w:r>
      <w:r w:rsidRPr="004A6222">
        <w:rPr>
          <w:spacing w:val="-17"/>
          <w:lang w:val="en-AU"/>
        </w:rPr>
        <w:t xml:space="preserve"> </w:t>
      </w:r>
      <w:r w:rsidRPr="004A6222">
        <w:rPr>
          <w:lang w:val="en-AU"/>
        </w:rPr>
        <w:t>Educational</w:t>
      </w:r>
      <w:r w:rsidRPr="004A6222">
        <w:rPr>
          <w:spacing w:val="-18"/>
          <w:lang w:val="en-AU"/>
        </w:rPr>
        <w:t xml:space="preserve"> </w:t>
      </w:r>
      <w:r w:rsidRPr="004A6222">
        <w:rPr>
          <w:lang w:val="en-AU"/>
        </w:rPr>
        <w:t>Research</w:t>
      </w:r>
    </w:p>
    <w:p w14:paraId="0BD16142" w14:textId="77777777" w:rsidR="00AA7B7D" w:rsidRPr="004A6222" w:rsidRDefault="004A6222">
      <w:pPr>
        <w:pStyle w:val="BodyText"/>
        <w:spacing w:line="345" w:lineRule="auto"/>
        <w:ind w:left="120" w:right="327"/>
        <w:rPr>
          <w:lang w:val="en-AU"/>
        </w:rPr>
      </w:pPr>
      <w:r w:rsidRPr="004A6222">
        <w:rPr>
          <w:lang w:val="en-AU"/>
        </w:rPr>
        <w:t>Given that university entries in Europe is largely based on the final grades from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secondary schooling, the presented analysis is likely to be relevant to other countries using</w:t>
      </w:r>
      <w:r w:rsidRPr="004A6222">
        <w:rPr>
          <w:spacing w:val="-71"/>
          <w:lang w:val="en-AU"/>
        </w:rPr>
        <w:t xml:space="preserve"> </w:t>
      </w:r>
      <w:r w:rsidRPr="004A6222">
        <w:rPr>
          <w:lang w:val="en-AU"/>
        </w:rPr>
        <w:t>grades as the selection criteria into tertiary education. The issue of potential unequal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treatment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of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students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with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different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specialisation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in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upper</w:t>
      </w:r>
      <w:r w:rsidRPr="004A6222">
        <w:rPr>
          <w:spacing w:val="-9"/>
          <w:lang w:val="en-AU"/>
        </w:rPr>
        <w:t xml:space="preserve"> </w:t>
      </w:r>
      <w:r w:rsidRPr="004A6222">
        <w:rPr>
          <w:lang w:val="en-AU"/>
        </w:rPr>
        <w:t>secondary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sc</w:t>
      </w:r>
      <w:r w:rsidRPr="004A6222">
        <w:rPr>
          <w:lang w:val="en-AU"/>
        </w:rPr>
        <w:t>hool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applies</w:t>
      </w:r>
      <w:r w:rsidRPr="004A6222">
        <w:rPr>
          <w:spacing w:val="-10"/>
          <w:lang w:val="en-AU"/>
        </w:rPr>
        <w:t xml:space="preserve"> </w:t>
      </w:r>
      <w:r w:rsidRPr="004A6222">
        <w:rPr>
          <w:lang w:val="en-AU"/>
        </w:rPr>
        <w:t>beyond</w:t>
      </w:r>
      <w:r w:rsidRPr="004A6222">
        <w:rPr>
          <w:spacing w:val="-70"/>
          <w:lang w:val="en-AU"/>
        </w:rPr>
        <w:t xml:space="preserve"> </w:t>
      </w:r>
      <w:r w:rsidRPr="004A6222">
        <w:rPr>
          <w:lang w:val="en-AU"/>
        </w:rPr>
        <w:t>the Norwegian context. By testing the assumption that grades from different specialities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support GPA’s selection purpose equally well, this study lends statistical support to</w:t>
      </w:r>
      <w:r w:rsidRPr="004A6222">
        <w:rPr>
          <w:spacing w:val="1"/>
          <w:lang w:val="en-AU"/>
        </w:rPr>
        <w:t xml:space="preserve"> </w:t>
      </w:r>
      <w:r w:rsidRPr="004A6222">
        <w:rPr>
          <w:lang w:val="en-AU"/>
        </w:rPr>
        <w:t>evidence-based policy formation process commonly practised in</w:t>
      </w:r>
      <w:r w:rsidRPr="004A6222">
        <w:rPr>
          <w:lang w:val="en-AU"/>
        </w:rPr>
        <w:t xml:space="preserve"> the Nordic community and</w:t>
      </w:r>
      <w:r w:rsidRPr="004A6222">
        <w:rPr>
          <w:spacing w:val="-71"/>
          <w:lang w:val="en-AU"/>
        </w:rPr>
        <w:t xml:space="preserve"> </w:t>
      </w:r>
      <w:r w:rsidRPr="004A6222">
        <w:rPr>
          <w:lang w:val="en-AU"/>
        </w:rPr>
        <w:t>serves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to</w:t>
      </w:r>
      <w:r w:rsidRPr="004A6222">
        <w:rPr>
          <w:spacing w:val="-5"/>
          <w:lang w:val="en-AU"/>
        </w:rPr>
        <w:t xml:space="preserve"> </w:t>
      </w:r>
      <w:r w:rsidRPr="004A6222">
        <w:rPr>
          <w:lang w:val="en-AU"/>
        </w:rPr>
        <w:t>strengthen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the</w:t>
      </w:r>
      <w:r w:rsidRPr="004A6222">
        <w:rPr>
          <w:spacing w:val="-5"/>
          <w:lang w:val="en-AU"/>
        </w:rPr>
        <w:t xml:space="preserve"> </w:t>
      </w:r>
      <w:r w:rsidRPr="004A6222">
        <w:rPr>
          <w:lang w:val="en-AU"/>
        </w:rPr>
        <w:t>fairness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of</w:t>
      </w:r>
      <w:r w:rsidRPr="004A6222">
        <w:rPr>
          <w:spacing w:val="-5"/>
          <w:lang w:val="en-AU"/>
        </w:rPr>
        <w:t xml:space="preserve"> </w:t>
      </w:r>
      <w:r w:rsidRPr="004A6222">
        <w:rPr>
          <w:lang w:val="en-AU"/>
        </w:rPr>
        <w:t>our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merit-based</w:t>
      </w:r>
      <w:r w:rsidRPr="004A6222">
        <w:rPr>
          <w:spacing w:val="-5"/>
          <w:lang w:val="en-AU"/>
        </w:rPr>
        <w:t xml:space="preserve"> </w:t>
      </w:r>
      <w:r w:rsidRPr="004A6222">
        <w:rPr>
          <w:lang w:val="en-AU"/>
        </w:rPr>
        <w:t>university</w:t>
      </w:r>
      <w:r w:rsidRPr="004A6222">
        <w:rPr>
          <w:spacing w:val="-5"/>
          <w:lang w:val="en-AU"/>
        </w:rPr>
        <w:t xml:space="preserve"> </w:t>
      </w:r>
      <w:r w:rsidRPr="004A6222">
        <w:rPr>
          <w:lang w:val="en-AU"/>
        </w:rPr>
        <w:t>admission</w:t>
      </w:r>
      <w:r w:rsidRPr="004A6222">
        <w:rPr>
          <w:spacing w:val="-6"/>
          <w:lang w:val="en-AU"/>
        </w:rPr>
        <w:t xml:space="preserve"> </w:t>
      </w:r>
      <w:r w:rsidRPr="004A6222">
        <w:rPr>
          <w:lang w:val="en-AU"/>
        </w:rPr>
        <w:t>decisions.</w:t>
      </w:r>
    </w:p>
    <w:sectPr w:rsidR="00AA7B7D" w:rsidRPr="004A6222">
      <w:pgSz w:w="11910" w:h="16840"/>
      <w:pgMar w:top="1380" w:right="1340" w:bottom="280" w:left="1320" w:header="6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D00E" w14:textId="77777777" w:rsidR="00000000" w:rsidRDefault="004A6222">
      <w:r>
        <w:separator/>
      </w:r>
    </w:p>
  </w:endnote>
  <w:endnote w:type="continuationSeparator" w:id="0">
    <w:p w14:paraId="0A7D4202" w14:textId="77777777" w:rsidR="00000000" w:rsidRDefault="004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LM Roman 10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CE575" w14:textId="77777777" w:rsidR="00000000" w:rsidRDefault="004A6222">
      <w:r>
        <w:separator/>
      </w:r>
    </w:p>
  </w:footnote>
  <w:footnote w:type="continuationSeparator" w:id="0">
    <w:p w14:paraId="163CE536" w14:textId="77777777" w:rsidR="00000000" w:rsidRDefault="004A6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C5A3" w14:textId="77777777" w:rsidR="00AA7B7D" w:rsidRDefault="004A6222">
    <w:pPr>
      <w:pStyle w:val="BodyText"/>
      <w:spacing w:before="0" w:line="14" w:lineRule="auto"/>
      <w:ind w:left="0" w:firstLine="0"/>
      <w:rPr>
        <w:sz w:val="20"/>
      </w:rPr>
    </w:pPr>
    <w:r>
      <w:pict w14:anchorId="4CC103E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4.8pt;margin-top:32.9pt;width:12.5pt;height:17.5pt;z-index:-251658752;mso-position-horizontal-relative:page;mso-position-vertical-relative:page" filled="f" stroked="f">
          <v:textbox inset="0,0,0,0">
            <w:txbxContent>
              <w:p w14:paraId="23BFCC20" w14:textId="77777777" w:rsidR="00AA7B7D" w:rsidRDefault="004A6222">
                <w:pPr>
                  <w:pStyle w:val="BodyText"/>
                  <w:spacing w:before="18"/>
                  <w:ind w:left="60" w:firstLine="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7B7D"/>
    <w:rsid w:val="004A6222"/>
    <w:rsid w:val="00AA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8EC5C"/>
  <w15:docId w15:val="{BF368CC5-C35D-4DB8-B972-8A2645C1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spacing w:before="88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0"/>
      <w:ind w:left="119" w:firstLine="7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Tan</cp:lastModifiedBy>
  <cp:revision>2</cp:revision>
  <dcterms:created xsi:type="dcterms:W3CDTF">2022-01-27T10:34:00Z</dcterms:created>
  <dcterms:modified xsi:type="dcterms:W3CDTF">2022-01-27T10:34:00Z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2022-01-27T00:00:00Z</vt:filetime>
  </property>
</Properties>
</file>