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C03D" w14:textId="40490325" w:rsidR="003D7854" w:rsidRPr="00C91D46" w:rsidRDefault="003D7854" w:rsidP="003D7854">
      <w:pPr>
        <w:pStyle w:val="Heading1"/>
        <w:spacing w:line="480" w:lineRule="auto"/>
        <w:rPr>
          <w:rFonts w:ascii="CMU Serif Roman" w:hAnsi="CMU Serif Roman" w:cs="CMU Serif Roman"/>
          <w:b/>
          <w:bCs/>
          <w:lang w:val="en-US"/>
        </w:rPr>
      </w:pPr>
      <w:r w:rsidRPr="00C91D46">
        <w:rPr>
          <w:rFonts w:ascii="CMU Serif Roman" w:hAnsi="CMU Serif Roman" w:cs="CMU Serif Roman"/>
          <w:b/>
          <w:bCs/>
          <w:lang w:val="en-US"/>
        </w:rPr>
        <w:t xml:space="preserve">Introduction </w:t>
      </w:r>
    </w:p>
    <w:p w14:paraId="49FDFFF0" w14:textId="632D74C6" w:rsidR="003D7854" w:rsidRPr="00C91D46" w:rsidRDefault="003D7854" w:rsidP="003D7854">
      <w:pPr>
        <w:spacing w:line="480" w:lineRule="auto"/>
        <w:rPr>
          <w:rFonts w:ascii="CMU Serif Roman" w:hAnsi="CMU Serif Roman" w:cs="CMU Serif Roman"/>
          <w:lang w:val="en-US"/>
        </w:rPr>
      </w:pPr>
      <w:r w:rsidRPr="00C91D46">
        <w:rPr>
          <w:rFonts w:ascii="CMU Serif Roman" w:hAnsi="CMU Serif Roman" w:cs="CMU Serif Roman"/>
          <w:lang w:val="en-US"/>
        </w:rPr>
        <w:t>…</w:t>
      </w:r>
    </w:p>
    <w:p w14:paraId="159E83FD" w14:textId="4C7A52EA" w:rsidR="003D7854" w:rsidRPr="00C91D46" w:rsidRDefault="003D7854" w:rsidP="003D7854">
      <w:pPr>
        <w:pStyle w:val="Heading2"/>
        <w:spacing w:line="480" w:lineRule="auto"/>
        <w:rPr>
          <w:rFonts w:ascii="CMU Serif Roman" w:hAnsi="CMU Serif Roman" w:cs="CMU Serif Roman"/>
          <w:b/>
          <w:bCs/>
          <w:lang w:val="en-US"/>
        </w:rPr>
      </w:pPr>
      <w:r w:rsidRPr="00C91D46">
        <w:rPr>
          <w:rFonts w:ascii="CMU Serif Roman" w:hAnsi="CMU Serif Roman" w:cs="CMU Serif Roman"/>
          <w:b/>
          <w:bCs/>
          <w:lang w:val="en-US"/>
        </w:rPr>
        <w:t xml:space="preserve">The present study </w:t>
      </w:r>
    </w:p>
    <w:p w14:paraId="7D3A3CC6" w14:textId="77777777" w:rsidR="003D7854" w:rsidRPr="00C91D46" w:rsidRDefault="003D7854" w:rsidP="003D7854">
      <w:pPr>
        <w:spacing w:line="480" w:lineRule="auto"/>
        <w:rPr>
          <w:rFonts w:ascii="CMU Serif Roman" w:hAnsi="CMU Serif Roman" w:cs="CMU Serif Roman"/>
          <w:color w:val="000000" w:themeColor="text1"/>
          <w:sz w:val="20"/>
          <w:szCs w:val="20"/>
          <w:highlight w:val="cyan"/>
          <w:lang w:val="en-US"/>
        </w:rPr>
      </w:pPr>
      <w:r w:rsidRPr="00C91D46">
        <w:rPr>
          <w:rFonts w:ascii="CMU Serif Roman" w:hAnsi="CMU Serif Roman" w:cs="CMU Serif Roman"/>
          <w:color w:val="000000"/>
          <w:sz w:val="20"/>
          <w:szCs w:val="20"/>
          <w:lang w:val="en-US"/>
        </w:rPr>
        <w:t xml:space="preserve">Available anonymous Routine Outcome Monitoring (ROM) data, collected as part of MSTs quality assurance and improvement system, was used to investigate the effectiveness of </w:t>
      </w:r>
      <w:r w:rsidRPr="00C91D46">
        <w:rPr>
          <w:rFonts w:ascii="CMU Serif Roman" w:hAnsi="CMU Serif Roman" w:cs="CMU Serif Roman"/>
          <w:sz w:val="20"/>
          <w:szCs w:val="20"/>
          <w:lang w:val="en-US"/>
        </w:rPr>
        <w:t xml:space="preserve">Multisystemic Therapy on treatment outcome during the COVID-19 restriction measures in Norway </w:t>
      </w:r>
      <w:r w:rsidRPr="00C91D46">
        <w:rPr>
          <w:rFonts w:ascii="CMU Serif Roman" w:hAnsi="CMU Serif Roman" w:cs="CMU Serif Roman"/>
          <w:sz w:val="20"/>
          <w:szCs w:val="20"/>
          <w:highlight w:val="cyan"/>
          <w:lang w:val="en-US"/>
        </w:rPr>
        <w:t>compared to before and</w:t>
      </w:r>
      <w:r w:rsidRPr="00C91D46">
        <w:rPr>
          <w:rFonts w:ascii="CMU Serif Roman" w:hAnsi="CMU Serif Roman" w:cs="CMU Serif Roman"/>
          <w:sz w:val="20"/>
          <w:szCs w:val="20"/>
          <w:lang w:val="en-US"/>
        </w:rPr>
        <w:t xml:space="preserve"> </w:t>
      </w:r>
      <w:r w:rsidRPr="00C91D46">
        <w:rPr>
          <w:rFonts w:ascii="CMU Serif Roman" w:hAnsi="CMU Serif Roman" w:cs="CMU Serif Roman"/>
          <w:sz w:val="20"/>
          <w:szCs w:val="20"/>
          <w:highlight w:val="cyan"/>
          <w:lang w:val="en-US"/>
        </w:rPr>
        <w:t>after</w:t>
      </w:r>
      <w:r w:rsidRPr="00C91D46">
        <w:rPr>
          <w:rFonts w:ascii="CMU Serif Roman" w:hAnsi="CMU Serif Roman" w:cs="CMU Serif Roman"/>
          <w:sz w:val="20"/>
          <w:szCs w:val="20"/>
          <w:lang w:val="en-US"/>
        </w:rPr>
        <w:t xml:space="preserve">. The system has been designed to increase the likelihood that problems with treatment fidelity and treatment outcome are identified and addressed on an ongoing basis at family, therapist, supervisor, expert consultant, and organization operating the treatment level (Henggeler et al., 2009, p. 284). </w:t>
      </w:r>
      <w:r w:rsidRPr="00C91D46">
        <w:rPr>
          <w:rFonts w:ascii="CMU Serif Roman" w:hAnsi="CMU Serif Roman" w:cs="CMU Serif Roman"/>
          <w:color w:val="000000" w:themeColor="text1"/>
          <w:sz w:val="20"/>
          <w:szCs w:val="20"/>
          <w:lang w:val="en-US"/>
        </w:rPr>
        <w:t>ROM data were reviewed for families starting treatment two years before the national lockdown until about 17 months after. I was thus able to compare the effectiveness of MST for families who received treatment when the lockdown occurred and those who started treatment after the lockdown date (some of these probably experienced later periods of restrictions) with the families who received the treatment before the pandemic onset.</w:t>
      </w:r>
      <w:r w:rsidRPr="00C91D46">
        <w:rPr>
          <w:rFonts w:ascii="CMU Serif Roman" w:hAnsi="CMU Serif Roman" w:cs="CMU Serif Roman"/>
          <w:sz w:val="20"/>
          <w:szCs w:val="20"/>
          <w:lang w:val="en-US"/>
        </w:rPr>
        <w:t xml:space="preserve"> This </w:t>
      </w:r>
      <w:r w:rsidRPr="00C91D46">
        <w:rPr>
          <w:rFonts w:ascii="CMU Serif Roman" w:hAnsi="CMU Serif Roman" w:cs="CMU Serif Roman"/>
          <w:color w:val="000000"/>
          <w:sz w:val="20"/>
          <w:szCs w:val="20"/>
          <w:lang w:val="en-US"/>
        </w:rPr>
        <w:t xml:space="preserve">is an important extension of previous research which has primarily studied MST under normal circumstances where physical meetings are feasible. To fill this gap in the literature, I examine three key questions as part om MSTs continuous quality improvement system: </w:t>
      </w:r>
      <w:r w:rsidRPr="00C91D46">
        <w:rPr>
          <w:rFonts w:ascii="CMU Serif Roman" w:hAnsi="CMU Serif Roman" w:cs="CMU Serif Roman"/>
          <w:color w:val="000000"/>
          <w:sz w:val="20"/>
          <w:szCs w:val="20"/>
          <w:highlight w:val="cyan"/>
          <w:lang w:val="en-US"/>
        </w:rPr>
        <w:t xml:space="preserve">1) Do treatment outcomes of MST change for those adolescents who receive treatment during or after the COVID-19 lockdown date; 2) Is there a change in which covariates influences the treatment outcome; 3) </w:t>
      </w:r>
      <w:r w:rsidRPr="00C91D46">
        <w:rPr>
          <w:rFonts w:ascii="CMU Serif Roman" w:hAnsi="CMU Serif Roman" w:cs="CMU Serif Roman"/>
          <w:color w:val="000000" w:themeColor="text1"/>
          <w:sz w:val="20"/>
          <w:szCs w:val="20"/>
          <w:highlight w:val="cyan"/>
          <w:lang w:val="en-US"/>
        </w:rPr>
        <w:t xml:space="preserve">Is there any differences in the growth patterns for those receiving treatment before, during and after the COVID-19 lockdown date?  </w:t>
      </w:r>
    </w:p>
    <w:p w14:paraId="3E3A7D27" w14:textId="77777777" w:rsidR="003D7854" w:rsidRPr="00C91D46" w:rsidRDefault="003D7854" w:rsidP="003D7854">
      <w:pPr>
        <w:spacing w:line="480" w:lineRule="auto"/>
        <w:rPr>
          <w:rFonts w:ascii="CMU Serif Roman" w:hAnsi="CMU Serif Roman" w:cs="CMU Serif Roman"/>
          <w:color w:val="000000" w:themeColor="text1"/>
          <w:sz w:val="20"/>
          <w:szCs w:val="20"/>
          <w:lang w:val="en-US"/>
        </w:rPr>
      </w:pPr>
    </w:p>
    <w:p w14:paraId="64E01982" w14:textId="77777777" w:rsidR="003D7854" w:rsidRPr="00C91D46" w:rsidRDefault="003D7854" w:rsidP="003D7854">
      <w:pPr>
        <w:spacing w:line="480" w:lineRule="auto"/>
        <w:rPr>
          <w:rFonts w:ascii="CMU Serif Roman" w:hAnsi="CMU Serif Roman" w:cs="CMU Serif Roman"/>
          <w:color w:val="000000" w:themeColor="text1"/>
          <w:sz w:val="20"/>
          <w:szCs w:val="20"/>
          <w:lang w:val="en-US"/>
        </w:rPr>
      </w:pPr>
      <w:r w:rsidRPr="00C91D46">
        <w:rPr>
          <w:rFonts w:ascii="CMU Serif Roman" w:hAnsi="CMU Serif Roman" w:cs="CMU Serif Roman"/>
          <w:color w:val="000000" w:themeColor="text1"/>
          <w:sz w:val="20"/>
          <w:szCs w:val="20"/>
          <w:lang w:val="en-US"/>
        </w:rPr>
        <w:t xml:space="preserve">To answer these questions, a longitudinal natural-group comparison was used. Given the limited evidence on the effectiveness of interventions for adolescents with serious conduct problems during the COVID-19 pandemic, and on how the situation affected this group of young people, it is difficult to </w:t>
      </w:r>
      <w:r w:rsidRPr="00C91D46">
        <w:rPr>
          <w:rFonts w:ascii="CMU Serif Roman" w:hAnsi="CMU Serif Roman" w:cs="CMU Serif Roman"/>
          <w:color w:val="000000" w:themeColor="text1"/>
          <w:sz w:val="20"/>
          <w:szCs w:val="20"/>
          <w:lang w:val="en-US"/>
        </w:rPr>
        <w:lastRenderedPageBreak/>
        <w:t xml:space="preserve">establish testable hypothesis related to these research questions. </w:t>
      </w:r>
      <w:r w:rsidRPr="00C91D46">
        <w:rPr>
          <w:rFonts w:ascii="CMU Serif Roman" w:hAnsi="CMU Serif Roman" w:cs="CMU Serif Roman"/>
          <w:color w:val="000000" w:themeColor="text1"/>
          <w:sz w:val="20"/>
          <w:szCs w:val="20"/>
          <w:highlight w:val="cyan"/>
          <w:lang w:val="en-US"/>
        </w:rPr>
        <w:t>(</w:t>
      </w:r>
      <w:proofErr w:type="spellStart"/>
      <w:r w:rsidRPr="00C91D46">
        <w:rPr>
          <w:rFonts w:ascii="CMU Serif Roman" w:hAnsi="CMU Serif Roman" w:cs="CMU Serif Roman"/>
          <w:color w:val="000000" w:themeColor="text1"/>
          <w:sz w:val="20"/>
          <w:szCs w:val="20"/>
          <w:highlight w:val="cyan"/>
          <w:lang w:val="en-US"/>
        </w:rPr>
        <w:t>også</w:t>
      </w:r>
      <w:proofErr w:type="spellEnd"/>
      <w:r w:rsidRPr="00C91D46">
        <w:rPr>
          <w:rFonts w:ascii="CMU Serif Roman" w:hAnsi="CMU Serif Roman" w:cs="CMU Serif Roman"/>
          <w:color w:val="000000" w:themeColor="text1"/>
          <w:sz w:val="20"/>
          <w:szCs w:val="20"/>
          <w:highlight w:val="cyan"/>
          <w:lang w:val="en-US"/>
        </w:rPr>
        <w:t xml:space="preserve"> </w:t>
      </w:r>
      <w:proofErr w:type="spellStart"/>
      <w:r w:rsidRPr="00C91D46">
        <w:rPr>
          <w:rFonts w:ascii="CMU Serif Roman" w:hAnsi="CMU Serif Roman" w:cs="CMU Serif Roman"/>
          <w:color w:val="000000" w:themeColor="text1"/>
          <w:sz w:val="20"/>
          <w:szCs w:val="20"/>
          <w:highlight w:val="cyan"/>
          <w:lang w:val="en-US"/>
        </w:rPr>
        <w:t>nevne</w:t>
      </w:r>
      <w:proofErr w:type="spellEnd"/>
      <w:r w:rsidRPr="00C91D46">
        <w:rPr>
          <w:rFonts w:ascii="CMU Serif Roman" w:hAnsi="CMU Serif Roman" w:cs="CMU Serif Roman"/>
          <w:color w:val="000000" w:themeColor="text1"/>
          <w:sz w:val="20"/>
          <w:szCs w:val="20"/>
          <w:highlight w:val="cyan"/>
          <w:lang w:val="en-US"/>
        </w:rPr>
        <w:t xml:space="preserve"> </w:t>
      </w:r>
      <w:proofErr w:type="spellStart"/>
      <w:r w:rsidRPr="00C91D46">
        <w:rPr>
          <w:rFonts w:ascii="CMU Serif Roman" w:hAnsi="CMU Serif Roman" w:cs="CMU Serif Roman"/>
          <w:color w:val="000000" w:themeColor="text1"/>
          <w:sz w:val="20"/>
          <w:szCs w:val="20"/>
          <w:highlight w:val="cyan"/>
          <w:lang w:val="en-US"/>
        </w:rPr>
        <w:t>blandet</w:t>
      </w:r>
      <w:proofErr w:type="spellEnd"/>
      <w:r w:rsidRPr="00C91D46">
        <w:rPr>
          <w:rFonts w:ascii="CMU Serif Roman" w:hAnsi="CMU Serif Roman" w:cs="CMU Serif Roman"/>
          <w:color w:val="000000" w:themeColor="text1"/>
          <w:sz w:val="20"/>
          <w:szCs w:val="20"/>
          <w:highlight w:val="cyan"/>
          <w:lang w:val="en-US"/>
        </w:rPr>
        <w:t xml:space="preserve"> </w:t>
      </w:r>
      <w:proofErr w:type="spellStart"/>
      <w:r w:rsidRPr="00C91D46">
        <w:rPr>
          <w:rFonts w:ascii="CMU Serif Roman" w:hAnsi="CMU Serif Roman" w:cs="CMU Serif Roman"/>
          <w:color w:val="000000" w:themeColor="text1"/>
          <w:sz w:val="20"/>
          <w:szCs w:val="20"/>
          <w:highlight w:val="cyan"/>
          <w:lang w:val="en-US"/>
        </w:rPr>
        <w:t>evidens</w:t>
      </w:r>
      <w:proofErr w:type="spellEnd"/>
      <w:r w:rsidRPr="00C91D46">
        <w:rPr>
          <w:rFonts w:ascii="CMU Serif Roman" w:hAnsi="CMU Serif Roman" w:cs="CMU Serif Roman"/>
          <w:color w:val="000000" w:themeColor="text1"/>
          <w:sz w:val="20"/>
          <w:szCs w:val="20"/>
          <w:highlight w:val="cyan"/>
          <w:lang w:val="en-US"/>
        </w:rPr>
        <w:t xml:space="preserve"> </w:t>
      </w:r>
      <w:proofErr w:type="spellStart"/>
      <w:r w:rsidRPr="00C91D46">
        <w:rPr>
          <w:rFonts w:ascii="CMU Serif Roman" w:hAnsi="CMU Serif Roman" w:cs="CMU Serif Roman"/>
          <w:color w:val="000000" w:themeColor="text1"/>
          <w:sz w:val="20"/>
          <w:szCs w:val="20"/>
          <w:highlight w:val="cyan"/>
          <w:lang w:val="en-US"/>
        </w:rPr>
        <w:t>fra</w:t>
      </w:r>
      <w:proofErr w:type="spellEnd"/>
      <w:r w:rsidRPr="00C91D46">
        <w:rPr>
          <w:rFonts w:ascii="CMU Serif Roman" w:hAnsi="CMU Serif Roman" w:cs="CMU Serif Roman"/>
          <w:color w:val="000000" w:themeColor="text1"/>
          <w:sz w:val="20"/>
          <w:szCs w:val="20"/>
          <w:highlight w:val="cyan"/>
          <w:lang w:val="en-US"/>
        </w:rPr>
        <w:t xml:space="preserve"> </w:t>
      </w:r>
      <w:proofErr w:type="spellStart"/>
      <w:r w:rsidRPr="00C91D46">
        <w:rPr>
          <w:rFonts w:ascii="CMU Serif Roman" w:hAnsi="CMU Serif Roman" w:cs="CMU Serif Roman"/>
          <w:color w:val="000000" w:themeColor="text1"/>
          <w:sz w:val="20"/>
          <w:szCs w:val="20"/>
          <w:highlight w:val="cyan"/>
          <w:lang w:val="en-US"/>
        </w:rPr>
        <w:t>ikke-kliniske</w:t>
      </w:r>
      <w:proofErr w:type="spellEnd"/>
      <w:r w:rsidRPr="00C91D46">
        <w:rPr>
          <w:rFonts w:ascii="CMU Serif Roman" w:hAnsi="CMU Serif Roman" w:cs="CMU Serif Roman"/>
          <w:color w:val="000000" w:themeColor="text1"/>
          <w:sz w:val="20"/>
          <w:szCs w:val="20"/>
          <w:highlight w:val="cyan"/>
          <w:lang w:val="en-US"/>
        </w:rPr>
        <w:t xml:space="preserve"> </w:t>
      </w:r>
      <w:proofErr w:type="spellStart"/>
      <w:r w:rsidRPr="00C91D46">
        <w:rPr>
          <w:rFonts w:ascii="CMU Serif Roman" w:hAnsi="CMU Serif Roman" w:cs="CMU Serif Roman"/>
          <w:color w:val="000000" w:themeColor="text1"/>
          <w:sz w:val="20"/>
          <w:szCs w:val="20"/>
          <w:highlight w:val="cyan"/>
          <w:lang w:val="en-US"/>
        </w:rPr>
        <w:t>utvalg</w:t>
      </w:r>
      <w:proofErr w:type="spellEnd"/>
      <w:r w:rsidRPr="00C91D46">
        <w:rPr>
          <w:rFonts w:ascii="CMU Serif Roman" w:hAnsi="CMU Serif Roman" w:cs="CMU Serif Roman"/>
          <w:color w:val="000000" w:themeColor="text1"/>
          <w:sz w:val="20"/>
          <w:szCs w:val="20"/>
          <w:highlight w:val="cyan"/>
          <w:lang w:val="en-US"/>
        </w:rPr>
        <w:t>?)</w:t>
      </w:r>
      <w:r w:rsidRPr="00C91D46">
        <w:rPr>
          <w:rFonts w:ascii="CMU Serif Roman" w:hAnsi="CMU Serif Roman" w:cs="CMU Serif Roman"/>
          <w:color w:val="000000" w:themeColor="text1"/>
          <w:sz w:val="20"/>
          <w:szCs w:val="20"/>
          <w:lang w:val="en-US"/>
        </w:rPr>
        <w:t xml:space="preserve"> The present study thus represents an exploratory multi-group comparison of how MST worked during the COVID-19 restriction measures. </w:t>
      </w:r>
    </w:p>
    <w:p w14:paraId="043F6FFD" w14:textId="77777777" w:rsidR="003D7854" w:rsidRPr="00C91D46" w:rsidRDefault="003D7854" w:rsidP="003D7854">
      <w:pPr>
        <w:spacing w:line="480" w:lineRule="auto"/>
        <w:rPr>
          <w:rFonts w:ascii="CMU Serif Roman" w:hAnsi="CMU Serif Roman" w:cs="CMU Serif Roman"/>
          <w:sz w:val="20"/>
          <w:szCs w:val="20"/>
          <w:lang w:val="en-US"/>
        </w:rPr>
      </w:pPr>
    </w:p>
    <w:p w14:paraId="10B7F5A2" w14:textId="77777777" w:rsidR="003D7854" w:rsidRPr="00C91D46" w:rsidRDefault="003D7854" w:rsidP="003D7854">
      <w:pPr>
        <w:pStyle w:val="Heading1"/>
        <w:spacing w:line="480" w:lineRule="auto"/>
        <w:rPr>
          <w:rFonts w:ascii="CMU Serif Roman" w:hAnsi="CMU Serif Roman" w:cs="CMU Serif Roman"/>
          <w:b/>
          <w:bCs/>
          <w:lang w:val="en-US"/>
        </w:rPr>
      </w:pPr>
      <w:r w:rsidRPr="00C91D46">
        <w:rPr>
          <w:rFonts w:ascii="CMU Serif Roman" w:hAnsi="CMU Serif Roman" w:cs="CMU Serif Roman"/>
          <w:b/>
          <w:bCs/>
          <w:lang w:val="en-US"/>
        </w:rPr>
        <w:t>Methods</w:t>
      </w:r>
    </w:p>
    <w:p w14:paraId="7C570E95" w14:textId="77777777" w:rsidR="003D7854" w:rsidRPr="00C91D46" w:rsidRDefault="003D7854" w:rsidP="003D7854">
      <w:pPr>
        <w:pStyle w:val="Heading2"/>
        <w:spacing w:line="480" w:lineRule="auto"/>
        <w:rPr>
          <w:rFonts w:ascii="CMU Serif Roman" w:hAnsi="CMU Serif Roman" w:cs="CMU Serif Roman"/>
          <w:b/>
          <w:bCs/>
          <w:lang w:val="en-US"/>
        </w:rPr>
      </w:pPr>
      <w:r w:rsidRPr="00C91D46">
        <w:rPr>
          <w:rFonts w:ascii="CMU Serif Roman" w:hAnsi="CMU Serif Roman" w:cs="CMU Serif Roman"/>
          <w:b/>
          <w:bCs/>
          <w:lang w:val="en-US"/>
        </w:rPr>
        <w:t xml:space="preserve">Participants </w:t>
      </w:r>
    </w:p>
    <w:p w14:paraId="32D755F4"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The participants are MST cases registered in the Norwegian Center for Child Behavioral Development (NUBU) database system, which started treatment between the 13</w:t>
      </w:r>
      <w:r w:rsidRPr="00C91D46">
        <w:rPr>
          <w:rFonts w:ascii="CMU Serif Roman" w:hAnsi="CMU Serif Roman" w:cs="CMU Serif Roman"/>
          <w:sz w:val="20"/>
          <w:szCs w:val="20"/>
          <w:vertAlign w:val="superscript"/>
          <w:lang w:val="en-US"/>
        </w:rPr>
        <w:t>th</w:t>
      </w:r>
      <w:r w:rsidRPr="00C91D46">
        <w:rPr>
          <w:rFonts w:ascii="CMU Serif Roman" w:hAnsi="CMU Serif Roman" w:cs="CMU Serif Roman"/>
          <w:sz w:val="20"/>
          <w:szCs w:val="20"/>
          <w:lang w:val="en-US"/>
        </w:rPr>
        <w:t xml:space="preserve"> of March 2018 and the 31</w:t>
      </w:r>
      <w:r w:rsidRPr="00C91D46">
        <w:rPr>
          <w:rFonts w:ascii="CMU Serif Roman" w:hAnsi="CMU Serif Roman" w:cs="CMU Serif Roman"/>
          <w:sz w:val="20"/>
          <w:szCs w:val="20"/>
          <w:vertAlign w:val="superscript"/>
          <w:lang w:val="en-US"/>
        </w:rPr>
        <w:t>st</w:t>
      </w:r>
      <w:r w:rsidRPr="00C91D46">
        <w:rPr>
          <w:rFonts w:ascii="CMU Serif Roman" w:hAnsi="CMU Serif Roman" w:cs="CMU Serif Roman"/>
          <w:sz w:val="20"/>
          <w:szCs w:val="20"/>
          <w:lang w:val="en-US"/>
        </w:rPr>
        <w:t xml:space="preserve"> of August 2021. </w:t>
      </w:r>
      <w:r w:rsidRPr="00C91D46">
        <w:rPr>
          <w:rFonts w:ascii="CMU Serif Roman" w:hAnsi="CMU Serif Roman" w:cs="CMU Serif Roman"/>
          <w:color w:val="000000" w:themeColor="text1"/>
          <w:sz w:val="20"/>
          <w:szCs w:val="20"/>
          <w:lang w:val="en-US"/>
        </w:rPr>
        <w:t xml:space="preserve">A small portion of this sample have been included in other studies (e.g., </w:t>
      </w:r>
      <w:proofErr w:type="spellStart"/>
      <w:r w:rsidRPr="00C91D46">
        <w:rPr>
          <w:rFonts w:ascii="CMU Serif Roman" w:hAnsi="CMU Serif Roman" w:cs="CMU Serif Roman"/>
          <w:color w:val="000000" w:themeColor="text1"/>
          <w:sz w:val="20"/>
          <w:szCs w:val="20"/>
          <w:lang w:val="en-US"/>
        </w:rPr>
        <w:t>Hukkelberg</w:t>
      </w:r>
      <w:proofErr w:type="spellEnd"/>
      <w:r w:rsidRPr="00C91D46">
        <w:rPr>
          <w:rFonts w:ascii="CMU Serif Roman" w:hAnsi="CMU Serif Roman" w:cs="CMU Serif Roman"/>
          <w:color w:val="000000" w:themeColor="text1"/>
          <w:sz w:val="20"/>
          <w:szCs w:val="20"/>
          <w:lang w:val="en-US"/>
        </w:rPr>
        <w:t xml:space="preserve"> et al., 2022; </w:t>
      </w:r>
      <w:proofErr w:type="spellStart"/>
      <w:r w:rsidRPr="00C91D46">
        <w:rPr>
          <w:rFonts w:ascii="CMU Serif Roman" w:hAnsi="CMU Serif Roman" w:cs="CMU Serif Roman"/>
          <w:color w:val="000000" w:themeColor="text1"/>
          <w:sz w:val="20"/>
          <w:szCs w:val="20"/>
          <w:lang w:val="en-US"/>
        </w:rPr>
        <w:t>Keles</w:t>
      </w:r>
      <w:proofErr w:type="spellEnd"/>
      <w:r w:rsidRPr="00C91D46">
        <w:rPr>
          <w:rFonts w:ascii="CMU Serif Roman" w:hAnsi="CMU Serif Roman" w:cs="CMU Serif Roman"/>
          <w:color w:val="000000" w:themeColor="text1"/>
          <w:sz w:val="20"/>
          <w:szCs w:val="20"/>
          <w:lang w:val="en-US"/>
        </w:rPr>
        <w:t xml:space="preserve"> et al., 2021).</w:t>
      </w:r>
      <w:r w:rsidRPr="00C91D46">
        <w:rPr>
          <w:rFonts w:ascii="CMU Serif Roman" w:hAnsi="CMU Serif Roman" w:cs="CMU Serif Roman"/>
          <w:sz w:val="20"/>
          <w:szCs w:val="20"/>
          <w:lang w:val="en-US"/>
        </w:rPr>
        <w:t xml:space="preserve"> A total of 2,067 young people and their families, referred to MST by the municipal Child Welfare Services for serious and persistent conduct problems, received treatment during this period. Due to this studies exclusion criteria (cases with several missing values on YLS/CMI and the national outcome goals at admission to treatment (T0)), 46 cases (2.23%) were excluded from the sample. Five of these cases had missing values on both YLS/CMI and the national outcome goals, and 11 had missing on the latter. While 30 had missing on all variables </w:t>
      </w:r>
      <w:r w:rsidRPr="00C91D46">
        <w:rPr>
          <w:rFonts w:ascii="CMU Serif Roman" w:hAnsi="CMU Serif Roman" w:cs="CMU Serif Roman"/>
          <w:sz w:val="20"/>
          <w:szCs w:val="20"/>
          <w:highlight w:val="cyan"/>
          <w:lang w:val="en-US"/>
        </w:rPr>
        <w:t>except from treatment duration and region</w:t>
      </w:r>
      <w:r w:rsidRPr="00C91D46">
        <w:rPr>
          <w:rFonts w:ascii="CMU Serif Roman" w:hAnsi="CMU Serif Roman" w:cs="CMU Serif Roman"/>
          <w:sz w:val="20"/>
          <w:szCs w:val="20"/>
          <w:lang w:val="en-US"/>
        </w:rPr>
        <w:t xml:space="preserve">, due to the family`s lack of consent to register case data. This resulted in a final sample of 2021 young people (63.4% boys) between 7 and 18 years, with a mean age of </w:t>
      </w:r>
      <w:r w:rsidRPr="00C91D46">
        <w:rPr>
          <w:rFonts w:ascii="CMU Serif Roman" w:hAnsi="CMU Serif Roman" w:cs="CMU Serif Roman"/>
          <w:sz w:val="20"/>
          <w:szCs w:val="20"/>
          <w:highlight w:val="magenta"/>
          <w:lang w:val="en-US"/>
        </w:rPr>
        <w:t>14.33 years (add .05 years)</w:t>
      </w:r>
      <w:r w:rsidRPr="00C91D46">
        <w:rPr>
          <w:rFonts w:ascii="CMU Serif Roman" w:hAnsi="CMU Serif Roman" w:cs="CMU Serif Roman"/>
          <w:sz w:val="20"/>
          <w:szCs w:val="20"/>
          <w:lang w:val="en-US"/>
        </w:rPr>
        <w:t xml:space="preserve"> (</w:t>
      </w:r>
      <w:r w:rsidRPr="00C91D46">
        <w:rPr>
          <w:rFonts w:ascii="CMU Serif Roman" w:hAnsi="CMU Serif Roman" w:cs="CMU Serif Roman"/>
          <w:i/>
          <w:iCs/>
          <w:sz w:val="20"/>
          <w:szCs w:val="20"/>
          <w:lang w:val="en-US"/>
        </w:rPr>
        <w:t>SD</w:t>
      </w:r>
      <w:r w:rsidRPr="00C91D46">
        <w:rPr>
          <w:rFonts w:ascii="CMU Serif Roman" w:hAnsi="CMU Serif Roman" w:cs="CMU Serif Roman"/>
          <w:sz w:val="20"/>
          <w:szCs w:val="20"/>
          <w:lang w:val="en-US"/>
        </w:rPr>
        <w:t xml:space="preserve"> = 1.60). 80.2% of the adolescents were non-immigrants, 10.8% were immigrants, and 9.0% had immigrant parents. Of those with an immigrant background, the majority were of Asian (40.3%), European (28.5%) or African (21.2%) origin. </w:t>
      </w:r>
      <w:r w:rsidRPr="00C91D46">
        <w:rPr>
          <w:rFonts w:ascii="CMU Serif Roman" w:hAnsi="CMU Serif Roman" w:cs="CMU Serif Roman"/>
          <w:sz w:val="20"/>
          <w:szCs w:val="20"/>
          <w:highlight w:val="cyan"/>
          <w:lang w:val="en-US"/>
        </w:rPr>
        <w:t>Mean treatment duration for the total sample</w:t>
      </w:r>
      <w:r w:rsidRPr="00C91D46">
        <w:rPr>
          <w:rFonts w:ascii="CMU Serif Roman" w:hAnsi="CMU Serif Roman" w:cs="CMU Serif Roman"/>
          <w:sz w:val="20"/>
          <w:szCs w:val="20"/>
          <w:lang w:val="en-US"/>
        </w:rPr>
        <w:t xml:space="preserve"> </w:t>
      </w:r>
      <w:r w:rsidRPr="00C91D46">
        <w:rPr>
          <w:rFonts w:ascii="CMU Serif Roman" w:hAnsi="CMU Serif Roman" w:cs="CMU Serif Roman"/>
          <w:sz w:val="20"/>
          <w:szCs w:val="20"/>
          <w:highlight w:val="cyan"/>
          <w:lang w:val="en-US"/>
        </w:rPr>
        <w:t>was … months (SD = …).</w:t>
      </w:r>
      <w:r w:rsidRPr="00C91D46">
        <w:rPr>
          <w:rFonts w:ascii="CMU Serif Roman" w:hAnsi="CMU Serif Roman" w:cs="CMU Serif Roman"/>
          <w:sz w:val="20"/>
          <w:szCs w:val="20"/>
          <w:highlight w:val="magenta"/>
          <w:lang w:val="en-US"/>
        </w:rPr>
        <w:t xml:space="preserve"> </w:t>
      </w:r>
    </w:p>
    <w:p w14:paraId="0A0933CE" w14:textId="77777777" w:rsidR="003D7854" w:rsidRPr="00C91D46" w:rsidRDefault="003D7854" w:rsidP="003D7854">
      <w:pPr>
        <w:spacing w:line="480" w:lineRule="auto"/>
        <w:rPr>
          <w:rFonts w:ascii="CMU Serif Roman" w:hAnsi="CMU Serif Roman" w:cs="CMU Serif Roman"/>
          <w:sz w:val="20"/>
          <w:szCs w:val="20"/>
          <w:lang w:val="en-US"/>
        </w:rPr>
      </w:pPr>
    </w:p>
    <w:p w14:paraId="1E15283A"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In order to receive MST treatment, the youth must meet the following inclusion criteria, evaluated by the team supervisor based on the referral information and the teams initial assessment: 1) </w:t>
      </w:r>
      <w:r w:rsidRPr="00C91D46">
        <w:rPr>
          <w:rFonts w:ascii="CMU Serif Roman" w:hAnsi="CMU Serif Roman" w:cs="CMU Serif Roman"/>
          <w:sz w:val="20"/>
          <w:szCs w:val="20"/>
          <w:highlight w:val="cyan"/>
          <w:lang w:val="en-US"/>
        </w:rPr>
        <w:t xml:space="preserve">the </w:t>
      </w:r>
      <w:r w:rsidRPr="00C91D46">
        <w:rPr>
          <w:rFonts w:ascii="CMU Serif Roman" w:hAnsi="CMU Serif Roman" w:cs="CMU Serif Roman"/>
          <w:sz w:val="20"/>
          <w:szCs w:val="20"/>
          <w:highlight w:val="cyan"/>
          <w:lang w:val="en-US"/>
        </w:rPr>
        <w:lastRenderedPageBreak/>
        <w:t>adolescents were between 12 and 18 years (NUBU, 2022b), 2) the adolescent displayed serious rule or norm breaking behavior, 3) the adolescent is at immediate risk of out-of-home placement (NUBU, 2021). While youths with the following characteristics are to be excluded from the intervention: 1) adolescents living by themselves and do not have any adults who can act as parents or primary caregivers, 2) adolescents with serious mental health problems (e.g., is actively suicidal, is psychotic, or is a danger to themselves or others), 3) sexual offending youths (without other criminal or antisocial behavior), 4) the adolescent struggles with social communication and interaction, and repetitive behavior, which may be caused by an autism spectrum disorder, 5) the adolescents level of intellectual ability is the most direct contributor to the referral behavior.</w:t>
      </w:r>
      <w:r w:rsidRPr="00C91D46">
        <w:rPr>
          <w:rFonts w:ascii="CMU Serif Roman" w:hAnsi="CMU Serif Roman" w:cs="CMU Serif Roman"/>
          <w:sz w:val="20"/>
          <w:szCs w:val="20"/>
          <w:lang w:val="en-US"/>
        </w:rPr>
        <w:t xml:space="preserve"> Despite these inclusion criteria, 117 young people under the age of twelve is admitted to treatment. This only happen exceptionally, but is usually due to an older sibling in the family already receiving MST treatment. </w:t>
      </w:r>
    </w:p>
    <w:p w14:paraId="2CB4EA00" w14:textId="77777777" w:rsidR="003D7854" w:rsidRPr="00C91D46" w:rsidRDefault="003D7854" w:rsidP="003D7854">
      <w:pPr>
        <w:rPr>
          <w:rFonts w:ascii="CMU Serif Roman" w:hAnsi="CMU Serif Roman" w:cs="CMU Serif Roman"/>
          <w:sz w:val="20"/>
          <w:szCs w:val="20"/>
          <w:lang w:val="en-US"/>
        </w:rPr>
      </w:pPr>
    </w:p>
    <w:p w14:paraId="3381CCEE" w14:textId="77777777" w:rsidR="003D7854" w:rsidRPr="00C91D46" w:rsidRDefault="003D7854" w:rsidP="003D7854">
      <w:pPr>
        <w:rPr>
          <w:rFonts w:ascii="CMU Serif Roman" w:hAnsi="CMU Serif Roman" w:cs="CMU Serif Roman"/>
          <w:lang w:val="en-US"/>
        </w:rPr>
      </w:pPr>
    </w:p>
    <w:p w14:paraId="159F9284" w14:textId="000D7B2E" w:rsidR="003D7854" w:rsidRPr="00C91D46" w:rsidRDefault="00325227" w:rsidP="003D7854">
      <w:pPr>
        <w:pStyle w:val="Heading2"/>
        <w:spacing w:line="480" w:lineRule="auto"/>
        <w:rPr>
          <w:rFonts w:ascii="CMU Serif Roman" w:hAnsi="CMU Serif Roman" w:cs="CMU Serif Roman"/>
          <w:b/>
          <w:bCs/>
          <w:lang w:val="en-US"/>
        </w:rPr>
      </w:pPr>
      <w:r w:rsidRPr="00C91D46">
        <w:rPr>
          <w:rFonts w:ascii="CMU Serif Roman" w:hAnsi="CMU Serif Roman" w:cs="CMU Serif Roman"/>
          <w:b/>
          <w:bCs/>
          <w:lang w:val="en-US"/>
        </w:rPr>
        <w:t xml:space="preserve">Data Collection </w:t>
      </w:r>
      <w:r w:rsidR="003D7854" w:rsidRPr="00C91D46">
        <w:rPr>
          <w:rFonts w:ascii="CMU Serif Roman" w:hAnsi="CMU Serif Roman" w:cs="CMU Serif Roman"/>
          <w:b/>
          <w:bCs/>
          <w:lang w:val="en-US"/>
        </w:rPr>
        <w:t xml:space="preserve">Procedures </w:t>
      </w:r>
    </w:p>
    <w:p w14:paraId="25C49371" w14:textId="52BAA129" w:rsidR="003D7854" w:rsidRPr="00C91D46" w:rsidRDefault="00325227"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Under the MST protocol, data on [</w:t>
      </w:r>
      <w:proofErr w:type="spellStart"/>
      <w:r w:rsidRPr="00C91D46">
        <w:rPr>
          <w:rFonts w:ascii="CMU Serif Roman" w:hAnsi="CMU Serif Roman" w:cs="CMU Serif Roman"/>
          <w:sz w:val="20"/>
          <w:szCs w:val="20"/>
          <w:lang w:val="en-US"/>
        </w:rPr>
        <w:t>behavioural</w:t>
      </w:r>
      <w:proofErr w:type="spellEnd"/>
      <w:r w:rsidRPr="00C91D46">
        <w:rPr>
          <w:rFonts w:ascii="CMU Serif Roman" w:hAnsi="CMU Serif Roman" w:cs="CMU Serif Roman"/>
          <w:sz w:val="20"/>
          <w:szCs w:val="20"/>
          <w:lang w:val="en-US"/>
        </w:rPr>
        <w:t xml:space="preserve"> 5] and YLS shall be collected at admission (</w:t>
      </w:r>
      <w:r w:rsidRPr="00C91D46">
        <w:rPr>
          <w:rFonts w:ascii="CMU Serif Roman" w:hAnsi="CMU Serif Roman" w:cs="CMU Serif Roman"/>
          <w:i/>
          <w:iCs/>
          <w:sz w:val="20"/>
          <w:szCs w:val="20"/>
          <w:lang w:val="en-US"/>
        </w:rPr>
        <w:t>T</w:t>
      </w:r>
      <w:r w:rsidRPr="00C91D46">
        <w:rPr>
          <w:rFonts w:ascii="CMU Serif Roman" w:hAnsi="CMU Serif Roman" w:cs="CMU Serif Roman"/>
          <w:i/>
          <w:iCs/>
          <w:sz w:val="20"/>
          <w:szCs w:val="20"/>
          <w:vertAlign w:val="subscript"/>
          <w:lang w:val="en-US"/>
        </w:rPr>
        <w:t>0</w:t>
      </w:r>
      <w:r w:rsidRPr="00C91D46">
        <w:rPr>
          <w:rFonts w:ascii="CMU Serif Roman" w:hAnsi="CMU Serif Roman" w:cs="CMU Serif Roman"/>
          <w:sz w:val="20"/>
          <w:szCs w:val="20"/>
          <w:lang w:val="en-US"/>
        </w:rPr>
        <w:t>) and discharge (</w:t>
      </w:r>
      <w:r w:rsidRPr="00C91D46">
        <w:rPr>
          <w:rFonts w:ascii="CMU Serif Roman" w:hAnsi="CMU Serif Roman" w:cs="CMU Serif Roman"/>
          <w:i/>
          <w:iCs/>
          <w:sz w:val="20"/>
          <w:szCs w:val="20"/>
          <w:lang w:val="en-US"/>
        </w:rPr>
        <w:t>T</w:t>
      </w:r>
      <w:r w:rsidRPr="00C91D46">
        <w:rPr>
          <w:rFonts w:ascii="CMU Serif Roman" w:hAnsi="CMU Serif Roman" w:cs="CMU Serif Roman"/>
          <w:i/>
          <w:iCs/>
          <w:sz w:val="20"/>
          <w:szCs w:val="20"/>
          <w:vertAlign w:val="subscript"/>
          <w:lang w:val="en-US"/>
        </w:rPr>
        <w:t>1</w:t>
      </w:r>
      <w:r w:rsidRPr="00C91D46">
        <w:rPr>
          <w:rFonts w:ascii="CMU Serif Roman" w:hAnsi="CMU Serif Roman" w:cs="CMU Serif Roman"/>
          <w:sz w:val="20"/>
          <w:szCs w:val="20"/>
          <w:lang w:val="en-US"/>
        </w:rPr>
        <w:t>). The MST team then continues with data collection on [</w:t>
      </w:r>
      <w:proofErr w:type="spellStart"/>
      <w:r w:rsidRPr="00C91D46">
        <w:rPr>
          <w:rFonts w:ascii="CMU Serif Roman" w:hAnsi="CMU Serif Roman" w:cs="CMU Serif Roman"/>
          <w:sz w:val="20"/>
          <w:szCs w:val="20"/>
          <w:lang w:val="en-US"/>
        </w:rPr>
        <w:t>behavioural</w:t>
      </w:r>
      <w:proofErr w:type="spellEnd"/>
      <w:r w:rsidRPr="00C91D46">
        <w:rPr>
          <w:rFonts w:ascii="CMU Serif Roman" w:hAnsi="CMU Serif Roman" w:cs="CMU Serif Roman"/>
          <w:sz w:val="20"/>
          <w:szCs w:val="20"/>
          <w:lang w:val="en-US"/>
        </w:rPr>
        <w:t xml:space="preserve"> 5] at 6-, 12-, and 18-month post discharges (</w:t>
      </w:r>
      <w:r w:rsidRPr="00C91D46">
        <w:rPr>
          <w:rFonts w:ascii="CMU Serif Roman" w:hAnsi="CMU Serif Roman" w:cs="CMU Serif Roman"/>
          <w:i/>
          <w:iCs/>
          <w:sz w:val="20"/>
          <w:szCs w:val="20"/>
          <w:lang w:val="en-US"/>
        </w:rPr>
        <w:t>T</w:t>
      </w:r>
      <w:r w:rsidRPr="00C91D46">
        <w:rPr>
          <w:rFonts w:ascii="CMU Serif Roman" w:hAnsi="CMU Serif Roman" w:cs="CMU Serif Roman"/>
          <w:i/>
          <w:iCs/>
          <w:sz w:val="20"/>
          <w:szCs w:val="20"/>
          <w:vertAlign w:val="subscript"/>
          <w:lang w:val="en-US"/>
        </w:rPr>
        <w:t>2</w:t>
      </w:r>
      <w:r w:rsidRPr="00C91D46">
        <w:rPr>
          <w:rFonts w:ascii="CMU Serif Roman" w:hAnsi="CMU Serif Roman" w:cs="CMU Serif Roman"/>
          <w:sz w:val="20"/>
          <w:szCs w:val="20"/>
          <w:lang w:val="en-US"/>
        </w:rPr>
        <w:t xml:space="preserve"> to </w:t>
      </w:r>
      <w:r w:rsidRPr="00C91D46">
        <w:rPr>
          <w:rFonts w:ascii="CMU Serif Roman" w:hAnsi="CMU Serif Roman" w:cs="CMU Serif Roman"/>
          <w:i/>
          <w:iCs/>
          <w:sz w:val="20"/>
          <w:szCs w:val="20"/>
          <w:lang w:val="en-US"/>
        </w:rPr>
        <w:t>T</w:t>
      </w:r>
      <w:r w:rsidRPr="00C91D46">
        <w:rPr>
          <w:rFonts w:ascii="CMU Serif Roman" w:hAnsi="CMU Serif Roman" w:cs="CMU Serif Roman"/>
          <w:i/>
          <w:iCs/>
          <w:sz w:val="20"/>
          <w:szCs w:val="20"/>
          <w:vertAlign w:val="subscript"/>
          <w:lang w:val="en-US"/>
        </w:rPr>
        <w:t>4</w:t>
      </w:r>
      <w:r w:rsidRPr="00C91D46">
        <w:rPr>
          <w:rFonts w:ascii="CMU Serif Roman" w:hAnsi="CMU Serif Roman" w:cs="CMU Serif Roman"/>
          <w:sz w:val="20"/>
          <w:szCs w:val="20"/>
          <w:lang w:val="en-US"/>
        </w:rPr>
        <w:t xml:space="preserve">) by phone interviews with youth’s parents. </w:t>
      </w:r>
      <w:r w:rsidR="00F935A7" w:rsidRPr="00C91D46">
        <w:rPr>
          <w:rFonts w:ascii="CMU Serif Roman" w:hAnsi="CMU Serif Roman" w:cs="CMU Serif Roman"/>
          <w:sz w:val="20"/>
          <w:szCs w:val="20"/>
          <w:lang w:val="en-US"/>
        </w:rPr>
        <w:t xml:space="preserve">To enhance measurement quality, </w:t>
      </w:r>
      <w:r w:rsidRPr="00C91D46">
        <w:rPr>
          <w:rFonts w:ascii="CMU Serif Roman" w:hAnsi="CMU Serif Roman" w:cs="CMU Serif Roman"/>
          <w:sz w:val="20"/>
          <w:szCs w:val="20"/>
          <w:lang w:val="en-US"/>
        </w:rPr>
        <w:t xml:space="preserve">a client’s condition </w:t>
      </w:r>
      <w:r w:rsidR="00F935A7" w:rsidRPr="00C91D46">
        <w:rPr>
          <w:rFonts w:ascii="CMU Serif Roman" w:hAnsi="CMU Serif Roman" w:cs="CMU Serif Roman"/>
          <w:sz w:val="20"/>
          <w:szCs w:val="20"/>
          <w:lang w:val="en-US"/>
        </w:rPr>
        <w:t xml:space="preserve">at admission </w:t>
      </w:r>
      <w:r w:rsidRPr="00C91D46">
        <w:rPr>
          <w:rFonts w:ascii="CMU Serif Roman" w:hAnsi="CMU Serif Roman" w:cs="CMU Serif Roman"/>
          <w:sz w:val="20"/>
          <w:szCs w:val="20"/>
          <w:lang w:val="en-US"/>
        </w:rPr>
        <w:t>is co-assessed by the referral agencies’ documentation and by the MST team’s initial clinical interview. During treatment, a quality assurance employee maintains monthly fidelity assessment with youth’s</w:t>
      </w:r>
      <w:r w:rsidR="003D7854" w:rsidRPr="00C91D46">
        <w:rPr>
          <w:rFonts w:ascii="CMU Serif Roman" w:hAnsi="CMU Serif Roman" w:cs="CMU Serif Roman"/>
          <w:sz w:val="20"/>
          <w:szCs w:val="20"/>
          <w:lang w:val="en-US"/>
        </w:rPr>
        <w:t xml:space="preserve"> primary caregiver</w:t>
      </w:r>
      <w:r w:rsidRPr="00C91D46">
        <w:rPr>
          <w:rFonts w:ascii="CMU Serif Roman" w:hAnsi="CMU Serif Roman" w:cs="CMU Serif Roman"/>
          <w:sz w:val="20"/>
          <w:szCs w:val="20"/>
          <w:lang w:val="en-US"/>
        </w:rPr>
        <w:t>s</w:t>
      </w:r>
      <w:r w:rsidR="003D7854" w:rsidRPr="00C91D46">
        <w:rPr>
          <w:rFonts w:ascii="CMU Serif Roman" w:hAnsi="CMU Serif Roman" w:cs="CMU Serif Roman"/>
          <w:sz w:val="20"/>
          <w:szCs w:val="20"/>
          <w:lang w:val="en-US"/>
        </w:rPr>
        <w:t xml:space="preserve"> </w:t>
      </w:r>
      <w:r w:rsidR="00230C0C" w:rsidRPr="00C91D46">
        <w:rPr>
          <w:rFonts w:ascii="CMU Serif Roman" w:hAnsi="CMU Serif Roman" w:cs="CMU Serif Roman"/>
          <w:sz w:val="20"/>
          <w:szCs w:val="20"/>
          <w:lang w:val="en-US"/>
        </w:rPr>
        <w:t xml:space="preserve">by </w:t>
      </w:r>
      <w:r w:rsidR="003D7854" w:rsidRPr="00C91D46">
        <w:rPr>
          <w:rFonts w:ascii="CMU Serif Roman" w:hAnsi="CMU Serif Roman" w:cs="CMU Serif Roman"/>
          <w:sz w:val="20"/>
          <w:szCs w:val="20"/>
          <w:lang w:val="en-US"/>
        </w:rPr>
        <w:t>phone.</w:t>
      </w:r>
      <w:r w:rsidR="00F935A7" w:rsidRPr="00C91D46">
        <w:rPr>
          <w:rFonts w:ascii="CMU Serif Roman" w:hAnsi="CMU Serif Roman" w:cs="CMU Serif Roman"/>
          <w:sz w:val="20"/>
          <w:szCs w:val="20"/>
          <w:lang w:val="en-US"/>
        </w:rPr>
        <w:t xml:space="preserve"> All MST therapists and agents have undergone </w:t>
      </w:r>
      <w:r w:rsidRPr="00C91D46">
        <w:rPr>
          <w:rFonts w:ascii="CMU Serif Roman" w:hAnsi="CMU Serif Roman" w:cs="CMU Serif Roman"/>
          <w:sz w:val="20"/>
          <w:szCs w:val="20"/>
          <w:lang w:val="en-US"/>
        </w:rPr>
        <w:t xml:space="preserve">rigorous training and </w:t>
      </w:r>
      <w:r w:rsidR="00F935A7" w:rsidRPr="00C91D46">
        <w:rPr>
          <w:rFonts w:ascii="CMU Serif Roman" w:hAnsi="CMU Serif Roman" w:cs="CMU Serif Roman"/>
          <w:sz w:val="20"/>
          <w:szCs w:val="20"/>
          <w:lang w:val="en-US"/>
        </w:rPr>
        <w:t xml:space="preserve">must follow </w:t>
      </w:r>
      <w:r w:rsidRPr="00C91D46">
        <w:rPr>
          <w:rFonts w:ascii="CMU Serif Roman" w:hAnsi="CMU Serif Roman" w:cs="CMU Serif Roman"/>
          <w:sz w:val="20"/>
          <w:szCs w:val="20"/>
          <w:lang w:val="en-US"/>
        </w:rPr>
        <w:t>detailed guidelines throughout the engagement period.</w:t>
      </w:r>
    </w:p>
    <w:p w14:paraId="01592674" w14:textId="77777777" w:rsidR="003D7854" w:rsidRPr="00C91D46" w:rsidRDefault="003D7854" w:rsidP="003D7854">
      <w:pPr>
        <w:spacing w:line="480" w:lineRule="auto"/>
        <w:rPr>
          <w:rFonts w:ascii="CMU Serif Roman" w:hAnsi="CMU Serif Roman" w:cs="CMU Serif Roman"/>
          <w:sz w:val="20"/>
          <w:szCs w:val="20"/>
          <w:lang w:val="en-US"/>
        </w:rPr>
      </w:pPr>
    </w:p>
    <w:p w14:paraId="5424DFCB" w14:textId="77777777" w:rsidR="003D7854" w:rsidRPr="00C91D46" w:rsidRDefault="003D7854" w:rsidP="003D7854">
      <w:pPr>
        <w:pStyle w:val="Heading2"/>
        <w:spacing w:line="480" w:lineRule="auto"/>
        <w:rPr>
          <w:rFonts w:ascii="CMU Serif Roman" w:hAnsi="CMU Serif Roman" w:cs="CMU Serif Roman"/>
          <w:b/>
          <w:bCs/>
          <w:lang w:val="en-US"/>
        </w:rPr>
      </w:pPr>
      <w:r w:rsidRPr="00C91D46">
        <w:rPr>
          <w:rFonts w:ascii="CMU Serif Roman" w:hAnsi="CMU Serif Roman" w:cs="CMU Serif Roman"/>
          <w:b/>
          <w:bCs/>
          <w:lang w:val="en-US"/>
        </w:rPr>
        <w:lastRenderedPageBreak/>
        <w:t xml:space="preserve">Measures </w:t>
      </w:r>
    </w:p>
    <w:p w14:paraId="25AA5CAB" w14:textId="3E38CEDC"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All measures except </w:t>
      </w:r>
      <w:r w:rsidRPr="00C91D46">
        <w:rPr>
          <w:rFonts w:ascii="CMU Serif Roman" w:hAnsi="CMU Serif Roman" w:cs="CMU Serif Roman"/>
          <w:i/>
          <w:iCs/>
          <w:sz w:val="20"/>
          <w:szCs w:val="20"/>
          <w:lang w:val="en-US"/>
        </w:rPr>
        <w:t xml:space="preserve">the Youth Level of Service/Case Management Inventory </w:t>
      </w:r>
      <w:r w:rsidRPr="00C91D46">
        <w:rPr>
          <w:rFonts w:ascii="CMU Serif Roman" w:hAnsi="CMU Serif Roman" w:cs="CMU Serif Roman"/>
          <w:sz w:val="20"/>
          <w:szCs w:val="20"/>
          <w:lang w:val="en-US"/>
        </w:rPr>
        <w:t xml:space="preserve">(Hoge &amp; Andrews, 2011) have been developed as part of the quality assurance system of MST. </w:t>
      </w:r>
      <w:r w:rsidR="002F026A" w:rsidRPr="00C91D46">
        <w:rPr>
          <w:rFonts w:ascii="CMU Serif Roman" w:hAnsi="CMU Serif Roman" w:cs="CMU Serif Roman"/>
          <w:sz w:val="20"/>
          <w:szCs w:val="20"/>
          <w:lang w:val="en-US"/>
        </w:rPr>
        <w:t>Communication channels were designed to be responsive and efficient t</w:t>
      </w:r>
      <w:r w:rsidRPr="00C91D46">
        <w:rPr>
          <w:rFonts w:ascii="CMU Serif Roman" w:hAnsi="CMU Serif Roman" w:cs="CMU Serif Roman"/>
          <w:sz w:val="20"/>
          <w:szCs w:val="20"/>
          <w:lang w:val="en-US"/>
        </w:rPr>
        <w:t xml:space="preserve">o ensure </w:t>
      </w:r>
      <w:r w:rsidR="00E601A9" w:rsidRPr="00C91D46">
        <w:rPr>
          <w:rFonts w:ascii="CMU Serif Roman" w:hAnsi="CMU Serif Roman" w:cs="CMU Serif Roman"/>
          <w:sz w:val="20"/>
          <w:szCs w:val="20"/>
          <w:lang w:val="en-US"/>
        </w:rPr>
        <w:t>immediate</w:t>
      </w:r>
      <w:r w:rsidRPr="00C91D46">
        <w:rPr>
          <w:rFonts w:ascii="CMU Serif Roman" w:hAnsi="CMU Serif Roman" w:cs="CMU Serif Roman"/>
          <w:sz w:val="20"/>
          <w:szCs w:val="20"/>
          <w:lang w:val="en-US"/>
        </w:rPr>
        <w:t xml:space="preserve"> feedback </w:t>
      </w:r>
      <w:r w:rsidR="00E601A9" w:rsidRPr="00C91D46">
        <w:rPr>
          <w:rFonts w:ascii="CMU Serif Roman" w:hAnsi="CMU Serif Roman" w:cs="CMU Serif Roman"/>
          <w:sz w:val="20"/>
          <w:szCs w:val="20"/>
          <w:lang w:val="en-US"/>
        </w:rPr>
        <w:t>between</w:t>
      </w:r>
      <w:r w:rsidR="002F026A" w:rsidRPr="00C91D46">
        <w:rPr>
          <w:rFonts w:ascii="CMU Serif Roman" w:hAnsi="CMU Serif Roman" w:cs="CMU Serif Roman"/>
          <w:sz w:val="20"/>
          <w:szCs w:val="20"/>
          <w:lang w:val="en-US"/>
        </w:rPr>
        <w:t xml:space="preserve"> therapists and MST administrators</w:t>
      </w:r>
      <w:r w:rsidR="00E601A9" w:rsidRPr="00C91D46">
        <w:rPr>
          <w:rFonts w:ascii="CMU Serif Roman" w:hAnsi="CMU Serif Roman" w:cs="CMU Serif Roman"/>
          <w:sz w:val="20"/>
          <w:szCs w:val="20"/>
          <w:lang w:val="en-US"/>
        </w:rPr>
        <w:t>, with minimal written text demanded from frontline agents on top of legally required</w:t>
      </w:r>
      <w:r w:rsidRPr="00C91D46">
        <w:rPr>
          <w:rFonts w:ascii="CMU Serif Roman" w:hAnsi="CMU Serif Roman" w:cs="CMU Serif Roman"/>
          <w:sz w:val="20"/>
          <w:szCs w:val="20"/>
          <w:lang w:val="en-US"/>
        </w:rPr>
        <w:t xml:space="preserve"> paperwork (</w:t>
      </w:r>
      <w:proofErr w:type="spellStart"/>
      <w:r w:rsidRPr="00C91D46">
        <w:rPr>
          <w:rFonts w:ascii="CMU Serif Roman" w:hAnsi="CMU Serif Roman" w:cs="CMU Serif Roman"/>
          <w:sz w:val="20"/>
          <w:szCs w:val="20"/>
          <w:lang w:val="en-US"/>
        </w:rPr>
        <w:t>Henggeler</w:t>
      </w:r>
      <w:proofErr w:type="spellEnd"/>
      <w:r w:rsidRPr="00C91D46">
        <w:rPr>
          <w:rFonts w:ascii="CMU Serif Roman" w:hAnsi="CMU Serif Roman" w:cs="CMU Serif Roman"/>
          <w:sz w:val="20"/>
          <w:szCs w:val="20"/>
          <w:lang w:val="en-US"/>
        </w:rPr>
        <w:t xml:space="preserve"> et al., 2009, p. 18 – 19, 42). </w:t>
      </w:r>
      <w:r w:rsidR="00E601A9" w:rsidRPr="00C91D46">
        <w:rPr>
          <w:rFonts w:ascii="CMU Serif Roman" w:hAnsi="CMU Serif Roman" w:cs="CMU Serif Roman"/>
          <w:sz w:val="20"/>
          <w:szCs w:val="20"/>
          <w:lang w:val="en-US"/>
        </w:rPr>
        <w:t>R</w:t>
      </w:r>
      <w:r w:rsidRPr="00C91D46">
        <w:rPr>
          <w:rFonts w:ascii="CMU Serif Roman" w:hAnsi="CMU Serif Roman" w:cs="CMU Serif Roman"/>
          <w:sz w:val="20"/>
          <w:szCs w:val="20"/>
          <w:lang w:val="en-US"/>
        </w:rPr>
        <w:t xml:space="preserve">eliability </w:t>
      </w:r>
      <w:r w:rsidR="00346352" w:rsidRPr="00C91D46">
        <w:rPr>
          <w:rFonts w:ascii="CMU Serif Roman" w:hAnsi="CMU Serif Roman" w:cs="CMU Serif Roman"/>
          <w:sz w:val="20"/>
          <w:szCs w:val="20"/>
          <w:lang w:val="en-US"/>
        </w:rPr>
        <w:t xml:space="preserve">coefficients </w:t>
      </w:r>
      <w:r w:rsidRPr="00C91D46">
        <w:rPr>
          <w:rFonts w:ascii="CMU Serif Roman" w:hAnsi="CMU Serif Roman" w:cs="CMU Serif Roman"/>
          <w:sz w:val="20"/>
          <w:szCs w:val="20"/>
          <w:lang w:val="en-US"/>
        </w:rPr>
        <w:t>of these measures</w:t>
      </w:r>
      <w:r w:rsidR="00E601A9" w:rsidRPr="00C91D46">
        <w:rPr>
          <w:rFonts w:ascii="CMU Serif Roman" w:hAnsi="CMU Serif Roman" w:cs="CMU Serif Roman"/>
          <w:sz w:val="20"/>
          <w:szCs w:val="20"/>
          <w:lang w:val="en-US"/>
        </w:rPr>
        <w:t xml:space="preserve"> w</w:t>
      </w:r>
      <w:r w:rsidR="00346352" w:rsidRPr="00C91D46">
        <w:rPr>
          <w:rFonts w:ascii="CMU Serif Roman" w:hAnsi="CMU Serif Roman" w:cs="CMU Serif Roman"/>
          <w:sz w:val="20"/>
          <w:szCs w:val="20"/>
          <w:lang w:val="en-US"/>
        </w:rPr>
        <w:t>ere</w:t>
      </w:r>
      <w:r w:rsidR="00E601A9" w:rsidRPr="00C91D46">
        <w:rPr>
          <w:rFonts w:ascii="CMU Serif Roman" w:hAnsi="CMU Serif Roman" w:cs="CMU Serif Roman"/>
          <w:sz w:val="20"/>
          <w:szCs w:val="20"/>
          <w:lang w:val="en-US"/>
        </w:rPr>
        <w:t xml:space="preserve"> not made available to the author.</w:t>
      </w:r>
    </w:p>
    <w:p w14:paraId="13B1DCF9" w14:textId="77777777" w:rsidR="003D7854" w:rsidRPr="00C91D46" w:rsidRDefault="003D7854" w:rsidP="003D7854">
      <w:pPr>
        <w:spacing w:line="480" w:lineRule="auto"/>
        <w:rPr>
          <w:rFonts w:ascii="CMU Serif Roman" w:hAnsi="CMU Serif Roman" w:cs="CMU Serif Roman"/>
          <w:sz w:val="20"/>
          <w:szCs w:val="20"/>
          <w:lang w:val="en-US"/>
        </w:rPr>
      </w:pPr>
    </w:p>
    <w:p w14:paraId="2976EF8F" w14:textId="24F24F58" w:rsidR="003D7854" w:rsidRPr="00C91D46" w:rsidRDefault="00E601A9" w:rsidP="00A27578">
      <w:pPr>
        <w:spacing w:line="480" w:lineRule="auto"/>
        <w:rPr>
          <w:rFonts w:ascii="CMU Serif Roman" w:hAnsi="CMU Serif Roman" w:cs="CMU Serif Roman"/>
          <w:sz w:val="20"/>
          <w:szCs w:val="20"/>
          <w:lang w:val="en-US"/>
        </w:rPr>
      </w:pPr>
      <w:r w:rsidRPr="00C91D46">
        <w:rPr>
          <w:rFonts w:ascii="CMU Serif Roman" w:hAnsi="CMU Serif Roman" w:cs="CMU Serif Roman"/>
          <w:color w:val="000000" w:themeColor="text1"/>
          <w:sz w:val="20"/>
          <w:szCs w:val="20"/>
          <w:lang w:val="en-US"/>
        </w:rPr>
        <w:t xml:space="preserve">This study partitions Norway into </w:t>
      </w:r>
      <w:r w:rsidR="003D7854" w:rsidRPr="00C91D46">
        <w:rPr>
          <w:rFonts w:ascii="CMU Serif Roman" w:hAnsi="CMU Serif Roman" w:cs="CMU Serif Roman"/>
          <w:color w:val="000000" w:themeColor="text1"/>
          <w:sz w:val="20"/>
          <w:szCs w:val="20"/>
          <w:lang w:val="en-US"/>
        </w:rPr>
        <w:t>south</w:t>
      </w:r>
      <w:r w:rsidRPr="00C91D46">
        <w:rPr>
          <w:rFonts w:ascii="CMU Serif Roman" w:hAnsi="CMU Serif Roman" w:cs="CMU Serif Roman"/>
          <w:color w:val="000000" w:themeColor="text1"/>
          <w:sz w:val="20"/>
          <w:szCs w:val="20"/>
          <w:lang w:val="en-US"/>
        </w:rPr>
        <w:t xml:space="preserve">ern, </w:t>
      </w:r>
      <w:r w:rsidR="003D7854" w:rsidRPr="00C91D46">
        <w:rPr>
          <w:rFonts w:ascii="CMU Serif Roman" w:hAnsi="CMU Serif Roman" w:cs="CMU Serif Roman"/>
          <w:color w:val="000000" w:themeColor="text1"/>
          <w:sz w:val="20"/>
          <w:szCs w:val="20"/>
          <w:lang w:val="en-US"/>
        </w:rPr>
        <w:t>middle</w:t>
      </w:r>
      <w:r w:rsidRPr="00C91D46">
        <w:rPr>
          <w:rFonts w:ascii="CMU Serif Roman" w:hAnsi="CMU Serif Roman" w:cs="CMU Serif Roman"/>
          <w:color w:val="000000" w:themeColor="text1"/>
          <w:sz w:val="20"/>
          <w:szCs w:val="20"/>
          <w:lang w:val="en-US"/>
        </w:rPr>
        <w:t>, and northern regions to account for geographical variations</w:t>
      </w:r>
      <w:r w:rsidR="003D7854" w:rsidRPr="00C91D46">
        <w:rPr>
          <w:rFonts w:ascii="CMU Serif Roman" w:hAnsi="CMU Serif Roman" w:cs="CMU Serif Roman"/>
          <w:color w:val="000000" w:themeColor="text1"/>
          <w:sz w:val="20"/>
          <w:szCs w:val="20"/>
          <w:lang w:val="en-US"/>
        </w:rPr>
        <w:t xml:space="preserve">. All dichotomous </w:t>
      </w:r>
      <w:r w:rsidR="003D7854" w:rsidRPr="00C91D46">
        <w:rPr>
          <w:rFonts w:ascii="CMU Serif Roman" w:hAnsi="CMU Serif Roman" w:cs="CMU Serif Roman"/>
          <w:sz w:val="20"/>
          <w:szCs w:val="20"/>
          <w:lang w:val="en-US"/>
        </w:rPr>
        <w:t>variables</w:t>
      </w:r>
      <w:r w:rsidR="003D7854" w:rsidRPr="00C91D46">
        <w:rPr>
          <w:rFonts w:ascii="CMU Serif Roman" w:hAnsi="CMU Serif Roman" w:cs="CMU Serif Roman"/>
          <w:color w:val="000000" w:themeColor="text1"/>
          <w:sz w:val="20"/>
          <w:szCs w:val="20"/>
          <w:lang w:val="en-US"/>
        </w:rPr>
        <w:t xml:space="preserve"> are scored with (1) </w:t>
      </w:r>
      <w:r w:rsidR="003D7854" w:rsidRPr="00C91D46">
        <w:rPr>
          <w:rFonts w:ascii="CMU Serif Roman" w:hAnsi="CMU Serif Roman" w:cs="CMU Serif Roman"/>
          <w:i/>
          <w:iCs/>
          <w:color w:val="000000" w:themeColor="text1"/>
          <w:sz w:val="20"/>
          <w:szCs w:val="20"/>
          <w:lang w:val="en-US"/>
        </w:rPr>
        <w:t>yes</w:t>
      </w:r>
      <w:r w:rsidR="003D7854" w:rsidRPr="00C91D46">
        <w:rPr>
          <w:rFonts w:ascii="CMU Serif Roman" w:hAnsi="CMU Serif Roman" w:cs="CMU Serif Roman"/>
          <w:color w:val="000000" w:themeColor="text1"/>
          <w:sz w:val="20"/>
          <w:szCs w:val="20"/>
          <w:lang w:val="en-US"/>
        </w:rPr>
        <w:t xml:space="preserve"> and (0) </w:t>
      </w:r>
      <w:r w:rsidR="003D7854" w:rsidRPr="00C91D46">
        <w:rPr>
          <w:rFonts w:ascii="CMU Serif Roman" w:hAnsi="CMU Serif Roman" w:cs="CMU Serif Roman"/>
          <w:i/>
          <w:iCs/>
          <w:color w:val="000000" w:themeColor="text1"/>
          <w:sz w:val="20"/>
          <w:szCs w:val="20"/>
          <w:lang w:val="en-US"/>
        </w:rPr>
        <w:t>no</w:t>
      </w:r>
      <w:r w:rsidR="003D7854" w:rsidRPr="00C91D46">
        <w:rPr>
          <w:rFonts w:ascii="CMU Serif Roman" w:hAnsi="CMU Serif Roman" w:cs="CMU Serif Roman"/>
          <w:color w:val="000000" w:themeColor="text1"/>
          <w:sz w:val="20"/>
          <w:szCs w:val="20"/>
          <w:lang w:val="en-US"/>
        </w:rPr>
        <w:t xml:space="preserve">, </w:t>
      </w:r>
      <w:r w:rsidR="00A27578" w:rsidRPr="00C91D46">
        <w:rPr>
          <w:rFonts w:ascii="CMU Serif Roman" w:hAnsi="CMU Serif Roman" w:cs="CMU Serif Roman"/>
          <w:color w:val="000000" w:themeColor="text1"/>
          <w:sz w:val="20"/>
          <w:szCs w:val="20"/>
          <w:lang w:val="en-US"/>
        </w:rPr>
        <w:t>such as to questions</w:t>
      </w:r>
      <w:r w:rsidR="003D7854" w:rsidRPr="00C91D46">
        <w:rPr>
          <w:rFonts w:ascii="CMU Serif Roman" w:hAnsi="CMU Serif Roman" w:cs="CMU Serif Roman"/>
          <w:color w:val="000000" w:themeColor="text1"/>
          <w:sz w:val="20"/>
          <w:szCs w:val="20"/>
          <w:lang w:val="en-US"/>
        </w:rPr>
        <w:t xml:space="preserve"> </w:t>
      </w:r>
      <w:r w:rsidR="00A27578" w:rsidRPr="00C91D46">
        <w:rPr>
          <w:rFonts w:ascii="CMU Serif Roman" w:hAnsi="CMU Serif Roman" w:cs="CMU Serif Roman"/>
          <w:color w:val="000000" w:themeColor="text1"/>
          <w:sz w:val="20"/>
          <w:szCs w:val="20"/>
          <w:lang w:val="en-US"/>
        </w:rPr>
        <w:t xml:space="preserve">a) </w:t>
      </w:r>
      <w:r w:rsidR="003D7854" w:rsidRPr="00C91D46">
        <w:rPr>
          <w:rFonts w:ascii="CMU Serif Roman" w:hAnsi="CMU Serif Roman" w:cs="CMU Serif Roman"/>
          <w:color w:val="000000" w:themeColor="text1"/>
          <w:sz w:val="20"/>
          <w:szCs w:val="20"/>
          <w:lang w:val="en-US"/>
        </w:rPr>
        <w:t xml:space="preserve">whether the young person lives in foster care, </w:t>
      </w:r>
      <w:r w:rsidR="00A27578" w:rsidRPr="00C91D46">
        <w:rPr>
          <w:rFonts w:ascii="CMU Serif Roman" w:hAnsi="CMU Serif Roman" w:cs="CMU Serif Roman"/>
          <w:color w:val="000000" w:themeColor="text1"/>
          <w:sz w:val="20"/>
          <w:szCs w:val="20"/>
          <w:lang w:val="en-US"/>
        </w:rPr>
        <w:t xml:space="preserve">b) </w:t>
      </w:r>
      <w:r w:rsidR="003D7854" w:rsidRPr="00C91D46">
        <w:rPr>
          <w:rFonts w:ascii="CMU Serif Roman" w:hAnsi="CMU Serif Roman" w:cs="CMU Serif Roman"/>
          <w:color w:val="000000" w:themeColor="text1"/>
          <w:sz w:val="20"/>
          <w:szCs w:val="20"/>
          <w:lang w:val="en-US"/>
        </w:rPr>
        <w:t xml:space="preserve">has received or is receiving mental health services, and </w:t>
      </w:r>
      <w:r w:rsidR="00A27578" w:rsidRPr="00C91D46">
        <w:rPr>
          <w:rFonts w:ascii="CMU Serif Roman" w:hAnsi="CMU Serif Roman" w:cs="CMU Serif Roman"/>
          <w:color w:val="000000" w:themeColor="text1"/>
          <w:sz w:val="20"/>
          <w:szCs w:val="20"/>
          <w:lang w:val="en-US"/>
        </w:rPr>
        <w:t xml:space="preserve">c) </w:t>
      </w:r>
      <w:r w:rsidR="003D7854" w:rsidRPr="00C91D46">
        <w:rPr>
          <w:rFonts w:ascii="CMU Serif Roman" w:hAnsi="CMU Serif Roman" w:cs="CMU Serif Roman"/>
          <w:color w:val="000000" w:themeColor="text1"/>
          <w:sz w:val="20"/>
          <w:szCs w:val="20"/>
          <w:lang w:val="en-US"/>
        </w:rPr>
        <w:t>has been returned from institutional treatment to receive MST.</w:t>
      </w:r>
      <w:r w:rsidRPr="00C91D46">
        <w:rPr>
          <w:rFonts w:ascii="CMU Serif Roman" w:hAnsi="CMU Serif Roman" w:cs="CMU Serif Roman"/>
          <w:color w:val="000000" w:themeColor="text1"/>
          <w:sz w:val="20"/>
          <w:szCs w:val="20"/>
          <w:lang w:val="en-US"/>
        </w:rPr>
        <w:t xml:space="preserve"> Demographic information</w:t>
      </w:r>
      <w:r w:rsidR="00346352" w:rsidRPr="00C91D46">
        <w:rPr>
          <w:rFonts w:ascii="CMU Serif Roman" w:hAnsi="CMU Serif Roman" w:cs="CMU Serif Roman"/>
          <w:color w:val="000000" w:themeColor="text1"/>
          <w:sz w:val="20"/>
          <w:szCs w:val="20"/>
          <w:lang w:val="en-US"/>
        </w:rPr>
        <w:t xml:space="preserve"> such as sex and age</w:t>
      </w:r>
      <w:r w:rsidRPr="00C91D46">
        <w:rPr>
          <w:rFonts w:ascii="CMU Serif Roman" w:hAnsi="CMU Serif Roman" w:cs="CMU Serif Roman"/>
          <w:color w:val="000000" w:themeColor="text1"/>
          <w:sz w:val="20"/>
          <w:szCs w:val="20"/>
          <w:lang w:val="en-US"/>
        </w:rPr>
        <w:t xml:space="preserve"> </w:t>
      </w:r>
      <w:proofErr w:type="gramStart"/>
      <w:r w:rsidRPr="00C91D46">
        <w:rPr>
          <w:rFonts w:ascii="CMU Serif Roman" w:hAnsi="CMU Serif Roman" w:cs="CMU Serif Roman"/>
          <w:color w:val="000000" w:themeColor="text1"/>
          <w:sz w:val="20"/>
          <w:szCs w:val="20"/>
          <w:lang w:val="en-US"/>
        </w:rPr>
        <w:t>was</w:t>
      </w:r>
      <w:proofErr w:type="gramEnd"/>
      <w:r w:rsidRPr="00C91D46">
        <w:rPr>
          <w:rFonts w:ascii="CMU Serif Roman" w:hAnsi="CMU Serif Roman" w:cs="CMU Serif Roman"/>
          <w:color w:val="000000" w:themeColor="text1"/>
          <w:sz w:val="20"/>
          <w:szCs w:val="20"/>
          <w:lang w:val="en-US"/>
        </w:rPr>
        <w:t xml:space="preserve"> </w:t>
      </w:r>
      <w:r w:rsidR="00346352" w:rsidRPr="00C91D46">
        <w:rPr>
          <w:rFonts w:ascii="CMU Serif Roman" w:hAnsi="CMU Serif Roman" w:cs="CMU Serif Roman"/>
          <w:color w:val="000000" w:themeColor="text1"/>
          <w:sz w:val="20"/>
          <w:szCs w:val="20"/>
          <w:lang w:val="en-US"/>
        </w:rPr>
        <w:t>recorded</w:t>
      </w:r>
      <w:r w:rsidRPr="00C91D46">
        <w:rPr>
          <w:rFonts w:ascii="CMU Serif Roman" w:hAnsi="CMU Serif Roman" w:cs="CMU Serif Roman"/>
          <w:color w:val="000000" w:themeColor="text1"/>
          <w:sz w:val="20"/>
          <w:szCs w:val="20"/>
          <w:lang w:val="en-US"/>
        </w:rPr>
        <w:t xml:space="preserve"> at admission. </w:t>
      </w:r>
      <w:r w:rsidR="00A27578" w:rsidRPr="00C91D46">
        <w:rPr>
          <w:rFonts w:ascii="CMU Serif Roman" w:hAnsi="CMU Serif Roman" w:cs="CMU Serif Roman"/>
          <w:color w:val="000000" w:themeColor="text1"/>
          <w:sz w:val="20"/>
          <w:szCs w:val="20"/>
          <w:lang w:val="en-US"/>
        </w:rPr>
        <w:t>Clients</w:t>
      </w:r>
      <w:r w:rsidR="003D7854" w:rsidRPr="00C91D46">
        <w:rPr>
          <w:rFonts w:ascii="CMU Serif Roman" w:hAnsi="CMU Serif Roman" w:cs="CMU Serif Roman"/>
          <w:color w:val="000000" w:themeColor="text1"/>
          <w:sz w:val="20"/>
          <w:szCs w:val="20"/>
          <w:lang w:val="en-US"/>
        </w:rPr>
        <w:t xml:space="preserve"> born to at least one Norw</w:t>
      </w:r>
      <w:r w:rsidRPr="00C91D46">
        <w:rPr>
          <w:rFonts w:ascii="CMU Serif Roman" w:hAnsi="CMU Serif Roman" w:cs="CMU Serif Roman"/>
          <w:color w:val="000000" w:themeColor="text1"/>
          <w:sz w:val="20"/>
          <w:szCs w:val="20"/>
          <w:lang w:val="en-US"/>
        </w:rPr>
        <w:t>ay</w:t>
      </w:r>
      <w:r w:rsidR="003D7854" w:rsidRPr="00C91D46">
        <w:rPr>
          <w:rFonts w:ascii="CMU Serif Roman" w:hAnsi="CMU Serif Roman" w:cs="CMU Serif Roman"/>
          <w:color w:val="000000" w:themeColor="text1"/>
          <w:sz w:val="20"/>
          <w:szCs w:val="20"/>
          <w:lang w:val="en-US"/>
        </w:rPr>
        <w:t>-born parent were categorized as non</w:t>
      </w:r>
      <w:r w:rsidRPr="00C91D46">
        <w:rPr>
          <w:rFonts w:ascii="CMU Serif Roman" w:hAnsi="CMU Serif Roman" w:cs="CMU Serif Roman"/>
          <w:color w:val="000000" w:themeColor="text1"/>
          <w:sz w:val="20"/>
          <w:szCs w:val="20"/>
          <w:lang w:val="en-US"/>
        </w:rPr>
        <w:t>-</w:t>
      </w:r>
      <w:r w:rsidR="003D7854" w:rsidRPr="00C91D46">
        <w:rPr>
          <w:rFonts w:ascii="CMU Serif Roman" w:hAnsi="CMU Serif Roman" w:cs="CMU Serif Roman"/>
          <w:color w:val="000000" w:themeColor="text1"/>
          <w:sz w:val="20"/>
          <w:szCs w:val="20"/>
          <w:lang w:val="en-US"/>
        </w:rPr>
        <w:t xml:space="preserve">migrant, </w:t>
      </w:r>
      <w:r w:rsidR="00A27578" w:rsidRPr="00C91D46">
        <w:rPr>
          <w:rFonts w:ascii="CMU Serif Roman" w:hAnsi="CMU Serif Roman" w:cs="CMU Serif Roman"/>
          <w:color w:val="000000" w:themeColor="text1"/>
          <w:sz w:val="20"/>
          <w:szCs w:val="20"/>
          <w:lang w:val="en-US"/>
        </w:rPr>
        <w:t>those</w:t>
      </w:r>
      <w:r w:rsidR="003D7854" w:rsidRPr="00C91D46">
        <w:rPr>
          <w:rFonts w:ascii="CMU Serif Roman" w:hAnsi="CMU Serif Roman" w:cs="CMU Serif Roman"/>
          <w:color w:val="000000" w:themeColor="text1"/>
          <w:sz w:val="20"/>
          <w:szCs w:val="20"/>
          <w:lang w:val="en-US"/>
        </w:rPr>
        <w:t xml:space="preserve"> born in Norway to </w:t>
      </w:r>
      <w:r w:rsidR="00A27578" w:rsidRPr="00C91D46">
        <w:rPr>
          <w:rFonts w:ascii="CMU Serif Roman" w:hAnsi="CMU Serif Roman" w:cs="CMU Serif Roman"/>
          <w:color w:val="000000" w:themeColor="text1"/>
          <w:sz w:val="20"/>
          <w:szCs w:val="20"/>
          <w:lang w:val="en-US"/>
        </w:rPr>
        <w:t>both</w:t>
      </w:r>
      <w:r w:rsidR="003D7854" w:rsidRPr="00C91D46">
        <w:rPr>
          <w:rFonts w:ascii="CMU Serif Roman" w:hAnsi="CMU Serif Roman" w:cs="CMU Serif Roman"/>
          <w:color w:val="000000" w:themeColor="text1"/>
          <w:sz w:val="20"/>
          <w:szCs w:val="20"/>
          <w:lang w:val="en-US"/>
        </w:rPr>
        <w:t xml:space="preserve"> foreign-born parents were categorized as</w:t>
      </w:r>
      <w:r w:rsidR="00A27578" w:rsidRPr="00C91D46">
        <w:rPr>
          <w:rFonts w:ascii="CMU Serif Roman" w:hAnsi="CMU Serif Roman" w:cs="CMU Serif Roman"/>
          <w:color w:val="000000" w:themeColor="text1"/>
          <w:sz w:val="20"/>
          <w:szCs w:val="20"/>
          <w:lang w:val="en-US"/>
        </w:rPr>
        <w:t xml:space="preserve"> </w:t>
      </w:r>
      <w:r w:rsidRPr="00C91D46">
        <w:rPr>
          <w:rFonts w:ascii="CMU Serif Roman" w:hAnsi="CMU Serif Roman" w:cs="CMU Serif Roman"/>
          <w:color w:val="000000" w:themeColor="text1"/>
          <w:sz w:val="20"/>
          <w:szCs w:val="20"/>
          <w:lang w:val="en-US"/>
        </w:rPr>
        <w:t>second</w:t>
      </w:r>
      <w:r w:rsidR="00A27578" w:rsidRPr="00C91D46">
        <w:rPr>
          <w:rFonts w:ascii="CMU Serif Roman" w:hAnsi="CMU Serif Roman" w:cs="CMU Serif Roman"/>
          <w:color w:val="000000" w:themeColor="text1"/>
          <w:sz w:val="20"/>
          <w:szCs w:val="20"/>
          <w:lang w:val="en-US"/>
        </w:rPr>
        <w:t>-</w:t>
      </w:r>
      <w:r w:rsidRPr="00C91D46">
        <w:rPr>
          <w:rFonts w:ascii="CMU Serif Roman" w:hAnsi="CMU Serif Roman" w:cs="CMU Serif Roman"/>
          <w:color w:val="000000" w:themeColor="text1"/>
          <w:sz w:val="20"/>
          <w:szCs w:val="20"/>
          <w:lang w:val="en-US"/>
        </w:rPr>
        <w:t>generation migrant</w:t>
      </w:r>
      <w:r w:rsidR="00A27578" w:rsidRPr="00C91D46">
        <w:rPr>
          <w:rFonts w:ascii="CMU Serif Roman" w:hAnsi="CMU Serif Roman" w:cs="CMU Serif Roman"/>
          <w:color w:val="000000" w:themeColor="text1"/>
          <w:sz w:val="20"/>
          <w:szCs w:val="20"/>
          <w:lang w:val="en-US"/>
        </w:rPr>
        <w:t>s</w:t>
      </w:r>
      <w:r w:rsidR="003D7854" w:rsidRPr="00C91D46">
        <w:rPr>
          <w:rFonts w:ascii="CMU Serif Roman" w:hAnsi="CMU Serif Roman" w:cs="CMU Serif Roman"/>
          <w:color w:val="000000" w:themeColor="text1"/>
          <w:sz w:val="20"/>
          <w:szCs w:val="20"/>
          <w:lang w:val="en-US"/>
        </w:rPr>
        <w:t xml:space="preserve">, and </w:t>
      </w:r>
      <w:r w:rsidR="00A27578" w:rsidRPr="00C91D46">
        <w:rPr>
          <w:rFonts w:ascii="CMU Serif Roman" w:hAnsi="CMU Serif Roman" w:cs="CMU Serif Roman"/>
          <w:color w:val="000000" w:themeColor="text1"/>
          <w:sz w:val="20"/>
          <w:szCs w:val="20"/>
          <w:lang w:val="en-US"/>
        </w:rPr>
        <w:t xml:space="preserve">those </w:t>
      </w:r>
      <w:r w:rsidR="003D7854" w:rsidRPr="00C91D46">
        <w:rPr>
          <w:rFonts w:ascii="CMU Serif Roman" w:hAnsi="CMU Serif Roman" w:cs="CMU Serif Roman"/>
          <w:color w:val="000000" w:themeColor="text1"/>
          <w:sz w:val="20"/>
          <w:szCs w:val="20"/>
          <w:lang w:val="en-US"/>
        </w:rPr>
        <w:t xml:space="preserve">born </w:t>
      </w:r>
      <w:r w:rsidR="00A27578" w:rsidRPr="00C91D46">
        <w:rPr>
          <w:rFonts w:ascii="CMU Serif Roman" w:hAnsi="CMU Serif Roman" w:cs="CMU Serif Roman"/>
          <w:color w:val="000000" w:themeColor="text1"/>
          <w:sz w:val="20"/>
          <w:szCs w:val="20"/>
          <w:lang w:val="en-US"/>
        </w:rPr>
        <w:t>overseas</w:t>
      </w:r>
      <w:r w:rsidR="003D7854" w:rsidRPr="00C91D46">
        <w:rPr>
          <w:rFonts w:ascii="CMU Serif Roman" w:hAnsi="CMU Serif Roman" w:cs="CMU Serif Roman"/>
          <w:color w:val="000000" w:themeColor="text1"/>
          <w:sz w:val="20"/>
          <w:szCs w:val="20"/>
          <w:lang w:val="en-US"/>
        </w:rPr>
        <w:t xml:space="preserve"> as</w:t>
      </w:r>
      <w:r w:rsidR="00A27578" w:rsidRPr="00C91D46">
        <w:rPr>
          <w:rFonts w:ascii="CMU Serif Roman" w:hAnsi="CMU Serif Roman" w:cs="CMU Serif Roman"/>
          <w:color w:val="000000" w:themeColor="text1"/>
          <w:sz w:val="20"/>
          <w:szCs w:val="20"/>
          <w:lang w:val="en-US"/>
        </w:rPr>
        <w:t xml:space="preserve"> first-generation</w:t>
      </w:r>
      <w:r w:rsidR="003D7854" w:rsidRPr="00C91D46">
        <w:rPr>
          <w:rFonts w:ascii="CMU Serif Roman" w:hAnsi="CMU Serif Roman" w:cs="CMU Serif Roman"/>
          <w:color w:val="000000" w:themeColor="text1"/>
          <w:sz w:val="20"/>
          <w:szCs w:val="20"/>
          <w:lang w:val="en-US"/>
        </w:rPr>
        <w:t xml:space="preserve"> migrants (NUBU, 2021). </w:t>
      </w:r>
      <w:r w:rsidR="00A27578" w:rsidRPr="00C91D46">
        <w:rPr>
          <w:rFonts w:ascii="CMU Serif Roman" w:hAnsi="CMU Serif Roman" w:cs="CMU Serif Roman"/>
          <w:sz w:val="20"/>
          <w:szCs w:val="20"/>
          <w:lang w:val="en-US"/>
        </w:rPr>
        <w:t>Prior to MST admission, clients may have received one or more therapies such as</w:t>
      </w:r>
      <w:r w:rsidR="003D7854" w:rsidRPr="00C91D46">
        <w:rPr>
          <w:rFonts w:ascii="CMU Serif Roman" w:hAnsi="CMU Serif Roman" w:cs="CMU Serif Roman"/>
          <w:sz w:val="20"/>
          <w:szCs w:val="20"/>
          <w:lang w:val="en-US"/>
        </w:rPr>
        <w:t xml:space="preserve"> Functional Family Therapy, Treatment Foster Care Oregon, Parent Management Training Oregon, Multifunctional Treatment in Residential and Community Settings</w:t>
      </w:r>
      <w:r w:rsidR="00A27578" w:rsidRPr="00C91D46">
        <w:rPr>
          <w:rFonts w:ascii="CMU Serif Roman" w:hAnsi="CMU Serif Roman" w:cs="CMU Serif Roman"/>
          <w:sz w:val="20"/>
          <w:szCs w:val="20"/>
          <w:lang w:val="en-US"/>
        </w:rPr>
        <w:t>, and MST</w:t>
      </w:r>
      <w:r w:rsidR="002128D2" w:rsidRPr="00C91D46">
        <w:rPr>
          <w:rFonts w:ascii="CMU Serif Roman" w:hAnsi="CMU Serif Roman" w:cs="CMU Serif Roman"/>
          <w:sz w:val="20"/>
          <w:szCs w:val="20"/>
          <w:lang w:val="en-US"/>
        </w:rPr>
        <w:t xml:space="preserve"> itself</w:t>
      </w:r>
      <w:r w:rsidR="003D7854" w:rsidRPr="00C91D46">
        <w:rPr>
          <w:rFonts w:ascii="CMU Serif Roman" w:hAnsi="CMU Serif Roman" w:cs="CMU Serif Roman"/>
          <w:sz w:val="20"/>
          <w:szCs w:val="20"/>
          <w:lang w:val="en-US"/>
        </w:rPr>
        <w:t>.</w:t>
      </w:r>
      <w:r w:rsidR="00A27578" w:rsidRPr="00C91D46">
        <w:rPr>
          <w:rFonts w:ascii="CMU Serif Roman" w:hAnsi="CMU Serif Roman" w:cs="CMU Serif Roman"/>
          <w:sz w:val="20"/>
          <w:szCs w:val="20"/>
          <w:lang w:val="en-US"/>
        </w:rPr>
        <w:t xml:space="preserve"> I re-coded </w:t>
      </w:r>
      <w:r w:rsidR="002128D2" w:rsidRPr="00C91D46">
        <w:rPr>
          <w:rFonts w:ascii="CMU Serif Roman" w:hAnsi="CMU Serif Roman" w:cs="CMU Serif Roman"/>
          <w:sz w:val="20"/>
          <w:szCs w:val="20"/>
          <w:lang w:val="en-US"/>
        </w:rPr>
        <w:t>“</w:t>
      </w:r>
      <w:r w:rsidR="00A27578" w:rsidRPr="00C91D46">
        <w:rPr>
          <w:rFonts w:ascii="CMU Serif Roman" w:hAnsi="CMU Serif Roman" w:cs="CMU Serif Roman"/>
          <w:sz w:val="20"/>
          <w:szCs w:val="20"/>
          <w:lang w:val="en-US"/>
        </w:rPr>
        <w:t>having received prior therapies</w:t>
      </w:r>
      <w:r w:rsidR="002128D2" w:rsidRPr="00C91D46">
        <w:rPr>
          <w:rFonts w:ascii="CMU Serif Roman" w:hAnsi="CMU Serif Roman" w:cs="CMU Serif Roman"/>
          <w:sz w:val="20"/>
          <w:szCs w:val="20"/>
          <w:lang w:val="en-US"/>
        </w:rPr>
        <w:t>”</w:t>
      </w:r>
      <w:r w:rsidR="00A27578" w:rsidRPr="00C91D46">
        <w:rPr>
          <w:rFonts w:ascii="CMU Serif Roman" w:hAnsi="CMU Serif Roman" w:cs="CMU Serif Roman"/>
          <w:sz w:val="20"/>
          <w:szCs w:val="20"/>
          <w:lang w:val="en-US"/>
        </w:rPr>
        <w:t xml:space="preserve"> into a dichotomous response. </w:t>
      </w:r>
      <w:r w:rsidR="00A27578" w:rsidRPr="00C91D46">
        <w:rPr>
          <w:rFonts w:ascii="CMU Serif Roman" w:hAnsi="CMU Serif Roman" w:cs="CMU Serif Roman"/>
          <w:color w:val="000000" w:themeColor="text1"/>
          <w:sz w:val="20"/>
          <w:szCs w:val="20"/>
          <w:lang w:val="en-US"/>
        </w:rPr>
        <w:t>Lastly</w:t>
      </w:r>
      <w:r w:rsidR="003D7854" w:rsidRPr="00C91D46">
        <w:rPr>
          <w:rFonts w:ascii="CMU Serif Roman" w:hAnsi="CMU Serif Roman" w:cs="CMU Serif Roman"/>
          <w:color w:val="000000" w:themeColor="text1"/>
          <w:sz w:val="20"/>
          <w:szCs w:val="20"/>
          <w:lang w:val="en-US"/>
        </w:rPr>
        <w:t xml:space="preserve">, </w:t>
      </w:r>
      <w:r w:rsidR="003D7854" w:rsidRPr="00C91D46">
        <w:rPr>
          <w:rFonts w:ascii="CMU Serif Roman" w:hAnsi="CMU Serif Roman" w:cs="CMU Serif Roman"/>
          <w:sz w:val="20"/>
          <w:szCs w:val="20"/>
          <w:lang w:val="en-US"/>
        </w:rPr>
        <w:t>treatment duration was calculated by subtracting the date of discharge</w:t>
      </w:r>
      <w:r w:rsidR="00A27578" w:rsidRPr="00C91D46">
        <w:rPr>
          <w:rFonts w:ascii="CMU Serif Roman" w:hAnsi="CMU Serif Roman" w:cs="CMU Serif Roman"/>
          <w:sz w:val="20"/>
          <w:szCs w:val="20"/>
          <w:lang w:val="en-US"/>
        </w:rPr>
        <w:t xml:space="preserve"> (</w:t>
      </w:r>
      <w:r w:rsidR="00A27578" w:rsidRPr="00C91D46">
        <w:rPr>
          <w:rFonts w:ascii="CMU Serif Roman" w:hAnsi="CMU Serif Roman" w:cs="CMU Serif Roman"/>
          <w:i/>
          <w:iCs/>
          <w:sz w:val="20"/>
          <w:szCs w:val="20"/>
          <w:lang w:val="en-US"/>
        </w:rPr>
        <w:t>T</w:t>
      </w:r>
      <w:r w:rsidR="00A27578" w:rsidRPr="00C91D46">
        <w:rPr>
          <w:rFonts w:ascii="CMU Serif Roman" w:hAnsi="CMU Serif Roman" w:cs="CMU Serif Roman"/>
          <w:i/>
          <w:iCs/>
          <w:sz w:val="20"/>
          <w:szCs w:val="20"/>
          <w:vertAlign w:val="subscript"/>
          <w:lang w:val="en-US"/>
        </w:rPr>
        <w:t>1</w:t>
      </w:r>
      <w:r w:rsidR="00A27578" w:rsidRPr="00C91D46">
        <w:rPr>
          <w:rFonts w:ascii="CMU Serif Roman" w:hAnsi="CMU Serif Roman" w:cs="CMU Serif Roman"/>
          <w:sz w:val="20"/>
          <w:szCs w:val="20"/>
          <w:lang w:val="en-US"/>
        </w:rPr>
        <w:t>)</w:t>
      </w:r>
      <w:r w:rsidR="003D7854" w:rsidRPr="00C91D46">
        <w:rPr>
          <w:rFonts w:ascii="CMU Serif Roman" w:hAnsi="CMU Serif Roman" w:cs="CMU Serif Roman"/>
          <w:sz w:val="20"/>
          <w:szCs w:val="20"/>
          <w:lang w:val="en-US"/>
        </w:rPr>
        <w:t xml:space="preserve"> </w:t>
      </w:r>
      <w:r w:rsidR="002128D2" w:rsidRPr="00C91D46">
        <w:rPr>
          <w:rFonts w:ascii="CMU Serif Roman" w:hAnsi="CMU Serif Roman" w:cs="CMU Serif Roman"/>
          <w:sz w:val="20"/>
          <w:szCs w:val="20"/>
          <w:lang w:val="en-US"/>
        </w:rPr>
        <w:t>from</w:t>
      </w:r>
      <w:r w:rsidR="00A27578" w:rsidRPr="00C91D46">
        <w:rPr>
          <w:rFonts w:ascii="CMU Serif Roman" w:hAnsi="CMU Serif Roman" w:cs="CMU Serif Roman"/>
          <w:sz w:val="20"/>
          <w:szCs w:val="20"/>
          <w:lang w:val="en-US"/>
        </w:rPr>
        <w:t xml:space="preserve"> the</w:t>
      </w:r>
      <w:r w:rsidR="003D7854" w:rsidRPr="00C91D46">
        <w:rPr>
          <w:rFonts w:ascii="CMU Serif Roman" w:hAnsi="CMU Serif Roman" w:cs="CMU Serif Roman"/>
          <w:sz w:val="20"/>
          <w:szCs w:val="20"/>
          <w:lang w:val="en-US"/>
        </w:rPr>
        <w:t xml:space="preserve"> date of admission</w:t>
      </w:r>
      <w:r w:rsidR="00A27578" w:rsidRPr="00C91D46">
        <w:rPr>
          <w:rFonts w:ascii="CMU Serif Roman" w:hAnsi="CMU Serif Roman" w:cs="CMU Serif Roman"/>
          <w:sz w:val="20"/>
          <w:szCs w:val="20"/>
          <w:lang w:val="en-US"/>
        </w:rPr>
        <w:t xml:space="preserve"> (</w:t>
      </w:r>
      <w:r w:rsidR="00A27578" w:rsidRPr="00C91D46">
        <w:rPr>
          <w:rFonts w:ascii="CMU Serif Roman" w:hAnsi="CMU Serif Roman" w:cs="CMU Serif Roman"/>
          <w:i/>
          <w:iCs/>
          <w:sz w:val="20"/>
          <w:szCs w:val="20"/>
          <w:lang w:val="en-US"/>
        </w:rPr>
        <w:t>T</w:t>
      </w:r>
      <w:r w:rsidR="00A27578" w:rsidRPr="00C91D46">
        <w:rPr>
          <w:rFonts w:ascii="CMU Serif Roman" w:hAnsi="CMU Serif Roman" w:cs="CMU Serif Roman"/>
          <w:i/>
          <w:iCs/>
          <w:sz w:val="20"/>
          <w:szCs w:val="20"/>
          <w:vertAlign w:val="subscript"/>
          <w:lang w:val="en-US"/>
        </w:rPr>
        <w:t>0</w:t>
      </w:r>
      <w:r w:rsidR="00A27578" w:rsidRPr="00C91D46">
        <w:rPr>
          <w:rFonts w:ascii="CMU Serif Roman" w:hAnsi="CMU Serif Roman" w:cs="CMU Serif Roman"/>
          <w:sz w:val="20"/>
          <w:szCs w:val="20"/>
          <w:lang w:val="en-US"/>
        </w:rPr>
        <w:t>), then converted to months</w:t>
      </w:r>
      <w:r w:rsidR="002128D2" w:rsidRPr="00C91D46">
        <w:rPr>
          <w:rFonts w:ascii="CMU Serif Roman" w:hAnsi="CMU Serif Roman" w:cs="CMU Serif Roman"/>
          <w:sz w:val="20"/>
          <w:szCs w:val="20"/>
          <w:lang w:val="en-US"/>
        </w:rPr>
        <w:t>.</w:t>
      </w:r>
      <w:r w:rsidR="00A27578" w:rsidRPr="00C91D46">
        <w:rPr>
          <w:rFonts w:ascii="CMU Serif Roman" w:hAnsi="CMU Serif Roman" w:cs="CMU Serif Roman"/>
          <w:sz w:val="20"/>
          <w:szCs w:val="20"/>
          <w:lang w:val="en-US"/>
        </w:rPr>
        <w:t xml:space="preserve"> </w:t>
      </w:r>
      <w:r w:rsidR="00A27578" w:rsidRPr="00C91D46">
        <w:rPr>
          <w:rFonts w:ascii="CMU Serif Roman" w:hAnsi="CMU Serif Roman" w:cs="CMU Serif Roman"/>
          <w:i/>
          <w:iCs/>
          <w:sz w:val="20"/>
          <w:szCs w:val="20"/>
          <w:lang w:val="en-US"/>
        </w:rPr>
        <w:t>T</w:t>
      </w:r>
      <w:r w:rsidR="00A27578" w:rsidRPr="00C91D46">
        <w:rPr>
          <w:rFonts w:ascii="CMU Serif Roman" w:hAnsi="CMU Serif Roman" w:cs="CMU Serif Roman"/>
          <w:i/>
          <w:iCs/>
          <w:sz w:val="20"/>
          <w:szCs w:val="20"/>
          <w:vertAlign w:val="subscript"/>
          <w:lang w:val="en-US"/>
        </w:rPr>
        <w:t>2</w:t>
      </w:r>
      <w:r w:rsidR="00A27578" w:rsidRPr="00C91D46">
        <w:rPr>
          <w:rFonts w:ascii="CMU Serif Roman" w:hAnsi="CMU Serif Roman" w:cs="CMU Serif Roman"/>
          <w:sz w:val="20"/>
          <w:szCs w:val="20"/>
          <w:lang w:val="en-US"/>
        </w:rPr>
        <w:t xml:space="preserve"> to </w:t>
      </w:r>
      <w:r w:rsidR="00A27578" w:rsidRPr="00C91D46">
        <w:rPr>
          <w:rFonts w:ascii="CMU Serif Roman" w:hAnsi="CMU Serif Roman" w:cs="CMU Serif Roman"/>
          <w:i/>
          <w:iCs/>
          <w:sz w:val="20"/>
          <w:szCs w:val="20"/>
          <w:lang w:val="en-US"/>
        </w:rPr>
        <w:t>T</w:t>
      </w:r>
      <w:r w:rsidR="00A27578" w:rsidRPr="00C91D46">
        <w:rPr>
          <w:rFonts w:ascii="CMU Serif Roman" w:hAnsi="CMU Serif Roman" w:cs="CMU Serif Roman"/>
          <w:i/>
          <w:iCs/>
          <w:sz w:val="20"/>
          <w:szCs w:val="20"/>
          <w:vertAlign w:val="subscript"/>
          <w:lang w:val="en-US"/>
        </w:rPr>
        <w:t>4</w:t>
      </w:r>
      <w:r w:rsidR="00A27578" w:rsidRPr="00C91D46">
        <w:rPr>
          <w:rFonts w:ascii="CMU Serif Roman" w:hAnsi="CMU Serif Roman" w:cs="CMU Serif Roman"/>
          <w:sz w:val="20"/>
          <w:szCs w:val="20"/>
          <w:lang w:val="en-US"/>
        </w:rPr>
        <w:t xml:space="preserve"> was constructed by adding 6 months to each previous time point.</w:t>
      </w:r>
    </w:p>
    <w:p w14:paraId="52D11624" w14:textId="77777777" w:rsidR="003D7854" w:rsidRPr="00C91D46" w:rsidRDefault="003D7854" w:rsidP="003D7854">
      <w:pPr>
        <w:spacing w:line="480" w:lineRule="auto"/>
        <w:rPr>
          <w:rFonts w:ascii="CMU Serif Roman" w:hAnsi="CMU Serif Roman" w:cs="CMU Serif Roman"/>
          <w:color w:val="000000" w:themeColor="text1"/>
          <w:sz w:val="20"/>
          <w:szCs w:val="20"/>
          <w:lang w:val="en-US"/>
        </w:rPr>
      </w:pPr>
    </w:p>
    <w:p w14:paraId="3A4B5113" w14:textId="77777777" w:rsidR="003D7854" w:rsidRPr="00C91D46" w:rsidRDefault="003D7854" w:rsidP="003D7854">
      <w:pPr>
        <w:pStyle w:val="Heading3"/>
        <w:spacing w:line="480" w:lineRule="auto"/>
        <w:rPr>
          <w:rFonts w:ascii="CMU Serif Roman" w:hAnsi="CMU Serif Roman" w:cs="CMU Serif Roman"/>
          <w:i/>
          <w:iCs/>
          <w:sz w:val="20"/>
          <w:szCs w:val="20"/>
          <w:lang w:val="en-US"/>
        </w:rPr>
      </w:pPr>
      <w:r w:rsidRPr="00C91D46">
        <w:rPr>
          <w:rFonts w:ascii="CMU Serif Roman" w:hAnsi="CMU Serif Roman" w:cs="CMU Serif Roman"/>
          <w:i/>
          <w:iCs/>
          <w:sz w:val="20"/>
          <w:szCs w:val="20"/>
          <w:lang w:val="en-US"/>
        </w:rPr>
        <w:t xml:space="preserve">National outcome goals </w:t>
      </w:r>
    </w:p>
    <w:p w14:paraId="76721240"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Five overarching behavioral goals for MST treatment were assessed at admission and discharge for youth and their families who not completed treatment, and at all time points (i.e., admission, </w:t>
      </w:r>
      <w:r w:rsidRPr="00C91D46">
        <w:rPr>
          <w:rFonts w:ascii="CMU Serif Roman" w:hAnsi="CMU Serif Roman" w:cs="CMU Serif Roman"/>
          <w:sz w:val="20"/>
          <w:szCs w:val="20"/>
          <w:lang w:val="en-US"/>
        </w:rPr>
        <w:lastRenderedPageBreak/>
        <w:t xml:space="preserve">discharge, and 6-, 12- and 18-month follow-ups) for those who completed treatment (NUBU, 2021). These ultimate outcomes are: 1) lives at home (i.e., the youth was not in jail or placed out of home by the Child Welfare Services), 2) attends school or work (at least 50% workload), 3) law-abiding (i.e., the youth has not received any formalized, societal consequences as a result of offenses or misdemeanors), 4) drug-free (i.e., the youth did not use drugs in a way that affects daily functioning or led to other serious consequences), and 5) abstaining from violence/ threats of violence. Non-risk outcomes were rated as (1) </w:t>
      </w:r>
      <w:r w:rsidRPr="00C91D46">
        <w:rPr>
          <w:rFonts w:ascii="CMU Serif Roman" w:hAnsi="CMU Serif Roman" w:cs="CMU Serif Roman"/>
          <w:i/>
          <w:iCs/>
          <w:sz w:val="20"/>
          <w:szCs w:val="20"/>
          <w:lang w:val="en-US"/>
        </w:rPr>
        <w:t>yes</w:t>
      </w:r>
      <w:r w:rsidRPr="00C91D46">
        <w:rPr>
          <w:rFonts w:ascii="CMU Serif Roman" w:hAnsi="CMU Serif Roman" w:cs="CMU Serif Roman"/>
          <w:sz w:val="20"/>
          <w:szCs w:val="20"/>
          <w:lang w:val="en-US"/>
        </w:rPr>
        <w:t xml:space="preserve">, and risk outcomes as (0) </w:t>
      </w:r>
      <w:r w:rsidRPr="00C91D46">
        <w:rPr>
          <w:rFonts w:ascii="CMU Serif Roman" w:hAnsi="CMU Serif Roman" w:cs="CMU Serif Roman"/>
          <w:i/>
          <w:iCs/>
          <w:sz w:val="20"/>
          <w:szCs w:val="20"/>
          <w:lang w:val="en-US"/>
        </w:rPr>
        <w:t>no</w:t>
      </w:r>
      <w:r w:rsidRPr="00C91D46">
        <w:rPr>
          <w:rFonts w:ascii="CMU Serif Roman" w:hAnsi="CMU Serif Roman" w:cs="CMU Serif Roman"/>
          <w:sz w:val="20"/>
          <w:szCs w:val="20"/>
          <w:lang w:val="en-US"/>
        </w:rPr>
        <w:t xml:space="preserve">. </w:t>
      </w:r>
    </w:p>
    <w:p w14:paraId="113324FA" w14:textId="77777777" w:rsidR="003D7854" w:rsidRPr="00C91D46" w:rsidRDefault="003D7854" w:rsidP="003D7854">
      <w:pPr>
        <w:spacing w:line="480" w:lineRule="auto"/>
        <w:rPr>
          <w:rFonts w:ascii="CMU Serif Roman" w:hAnsi="CMU Serif Roman" w:cs="CMU Serif Roman"/>
          <w:sz w:val="20"/>
          <w:szCs w:val="20"/>
          <w:lang w:val="en-US"/>
        </w:rPr>
      </w:pPr>
    </w:p>
    <w:p w14:paraId="721E4AE2" w14:textId="77777777" w:rsidR="003D7854" w:rsidRPr="00C91D46" w:rsidRDefault="003D7854" w:rsidP="003D7854">
      <w:pPr>
        <w:pStyle w:val="Heading3"/>
        <w:spacing w:line="480" w:lineRule="auto"/>
        <w:rPr>
          <w:rFonts w:ascii="CMU Serif Roman" w:hAnsi="CMU Serif Roman" w:cs="CMU Serif Roman"/>
          <w:i/>
          <w:iCs/>
          <w:sz w:val="20"/>
          <w:szCs w:val="20"/>
          <w:lang w:val="en-US"/>
        </w:rPr>
      </w:pPr>
      <w:r w:rsidRPr="00C91D46">
        <w:rPr>
          <w:rFonts w:ascii="CMU Serif Roman" w:hAnsi="CMU Serif Roman" w:cs="CMU Serif Roman"/>
          <w:i/>
          <w:iCs/>
          <w:sz w:val="20"/>
          <w:szCs w:val="20"/>
          <w:lang w:val="en-US"/>
        </w:rPr>
        <w:t>Risk level</w:t>
      </w:r>
    </w:p>
    <w:p w14:paraId="0F2BA58F"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The level of youth risk for future conduct problems was measured by the Youth Level of Service/Case Management Inventory – Part I (YLS/CMI; Hoge &amp; Andrews, 2011), both at intake to treatment and at discharge. YLS/CMI consists of 42 items summarized across eight subscales, rated on a dichotomous scale (1 = present, 0 = not present). The first subscale Prior and Current offenses/ Dispositions (5 items), measures static risk (i.e., unable to be changed). While dynamic risk (i.e., able to be changed) is measured by the remaining subscales; Family Circumstances/ Parenting (6 items), Education/ Employment (7 items), Peer Relations (4 items), Substance Abuse (5 items), Leisure/ Recreation (3 items), Personality/ Behavior (7 items), and Attitudes/ Orientation (5 items). Both a total scale score and subscale scores are calculated, where a higher score indicates greater risk. The Norwegian version of the YLS/CMI was translated by Tore </w:t>
      </w:r>
      <w:proofErr w:type="spellStart"/>
      <w:r w:rsidRPr="00C91D46">
        <w:rPr>
          <w:rFonts w:ascii="CMU Serif Roman" w:hAnsi="CMU Serif Roman" w:cs="CMU Serif Roman"/>
          <w:sz w:val="20"/>
          <w:szCs w:val="20"/>
          <w:lang w:val="en-US"/>
        </w:rPr>
        <w:t>Andreassen</w:t>
      </w:r>
      <w:proofErr w:type="spellEnd"/>
      <w:r w:rsidRPr="00C91D46">
        <w:rPr>
          <w:rFonts w:ascii="CMU Serif Roman" w:hAnsi="CMU Serif Roman" w:cs="CMU Serif Roman"/>
          <w:sz w:val="20"/>
          <w:szCs w:val="20"/>
          <w:lang w:val="en-US"/>
        </w:rPr>
        <w:t xml:space="preserve"> and </w:t>
      </w:r>
      <w:proofErr w:type="spellStart"/>
      <w:r w:rsidRPr="00C91D46">
        <w:rPr>
          <w:rFonts w:ascii="CMU Serif Roman" w:hAnsi="CMU Serif Roman" w:cs="CMU Serif Roman"/>
          <w:sz w:val="20"/>
          <w:szCs w:val="20"/>
          <w:lang w:val="en-US"/>
        </w:rPr>
        <w:t>Terje</w:t>
      </w:r>
      <w:proofErr w:type="spellEnd"/>
      <w:r w:rsidRPr="00C91D46">
        <w:rPr>
          <w:rFonts w:ascii="CMU Serif Roman" w:hAnsi="CMU Serif Roman" w:cs="CMU Serif Roman"/>
          <w:sz w:val="20"/>
          <w:szCs w:val="20"/>
          <w:lang w:val="en-US"/>
        </w:rPr>
        <w:t xml:space="preserve"> Ogden, and back-translated to gain approval by the Multi Health Systems Inc. in the US (Jakobsen &amp; </w:t>
      </w:r>
      <w:proofErr w:type="spellStart"/>
      <w:r w:rsidRPr="00C91D46">
        <w:rPr>
          <w:rFonts w:ascii="CMU Serif Roman" w:hAnsi="CMU Serif Roman" w:cs="CMU Serif Roman"/>
          <w:sz w:val="20"/>
          <w:szCs w:val="20"/>
          <w:lang w:val="en-US"/>
        </w:rPr>
        <w:t>Kornør</w:t>
      </w:r>
      <w:proofErr w:type="spellEnd"/>
      <w:r w:rsidRPr="00C91D46">
        <w:rPr>
          <w:rFonts w:ascii="CMU Serif Roman" w:hAnsi="CMU Serif Roman" w:cs="CMU Serif Roman"/>
          <w:sz w:val="20"/>
          <w:szCs w:val="20"/>
          <w:lang w:val="en-US"/>
        </w:rPr>
        <w:t xml:space="preserve">, 2017). In the present study, I had access to subscale data only, not item data. Consequently, I was not able to calculate the internal consistency. However, in their study on parts of the same sample, </w:t>
      </w:r>
      <w:proofErr w:type="spellStart"/>
      <w:r w:rsidRPr="00C91D46">
        <w:rPr>
          <w:rFonts w:ascii="CMU Serif Roman" w:hAnsi="CMU Serif Roman" w:cs="CMU Serif Roman"/>
          <w:sz w:val="20"/>
          <w:szCs w:val="20"/>
          <w:lang w:val="en-US"/>
        </w:rPr>
        <w:t>Hukkelberg</w:t>
      </w:r>
      <w:proofErr w:type="spellEnd"/>
      <w:r w:rsidRPr="00C91D46">
        <w:rPr>
          <w:rFonts w:ascii="CMU Serif Roman" w:hAnsi="CMU Serif Roman" w:cs="CMU Serif Roman"/>
          <w:sz w:val="20"/>
          <w:szCs w:val="20"/>
          <w:lang w:val="en-US"/>
        </w:rPr>
        <w:t xml:space="preserve"> et al (2022) report an internal consistency of </w:t>
      </w:r>
      <w:r w:rsidRPr="00C91D46">
        <w:rPr>
          <w:rFonts w:ascii="CMU Serif Roman" w:hAnsi="CMU Serif Roman" w:cs="CMU Serif Roman"/>
          <w:sz w:val="20"/>
          <w:szCs w:val="20"/>
        </w:rPr>
        <w:t>α</w:t>
      </w:r>
      <w:r w:rsidRPr="00C91D46">
        <w:rPr>
          <w:rFonts w:ascii="CMU Serif Roman" w:hAnsi="CMU Serif Roman" w:cs="CMU Serif Roman"/>
          <w:sz w:val="20"/>
          <w:szCs w:val="20"/>
          <w:lang w:val="en-US"/>
        </w:rPr>
        <w:t xml:space="preserve"> = .55 at intake and </w:t>
      </w:r>
      <w:r w:rsidRPr="00C91D46">
        <w:rPr>
          <w:rFonts w:ascii="CMU Serif Roman" w:hAnsi="CMU Serif Roman" w:cs="CMU Serif Roman"/>
          <w:sz w:val="20"/>
          <w:szCs w:val="20"/>
        </w:rPr>
        <w:t>α</w:t>
      </w:r>
      <w:r w:rsidRPr="00C91D46">
        <w:rPr>
          <w:rFonts w:ascii="CMU Serif Roman" w:hAnsi="CMU Serif Roman" w:cs="CMU Serif Roman"/>
          <w:sz w:val="20"/>
          <w:szCs w:val="20"/>
          <w:lang w:val="en-US"/>
        </w:rPr>
        <w:t xml:space="preserve"> = .71 at discharge. </w:t>
      </w:r>
    </w:p>
    <w:p w14:paraId="187B1054" w14:textId="77777777" w:rsidR="003D7854" w:rsidRPr="00C91D46" w:rsidRDefault="003D7854" w:rsidP="003D7854">
      <w:pPr>
        <w:pStyle w:val="Heading3"/>
        <w:spacing w:line="480" w:lineRule="auto"/>
        <w:rPr>
          <w:rFonts w:ascii="CMU Serif Roman" w:hAnsi="CMU Serif Roman" w:cs="CMU Serif Roman"/>
          <w:i/>
          <w:iCs/>
          <w:sz w:val="20"/>
          <w:szCs w:val="20"/>
          <w:lang w:val="en-US"/>
        </w:rPr>
      </w:pPr>
    </w:p>
    <w:p w14:paraId="442E34E4" w14:textId="77777777" w:rsidR="003D7854" w:rsidRPr="00C91D46" w:rsidRDefault="003D7854" w:rsidP="003D7854">
      <w:pPr>
        <w:pStyle w:val="Heading3"/>
        <w:spacing w:line="480" w:lineRule="auto"/>
        <w:rPr>
          <w:rFonts w:ascii="CMU Serif Roman" w:hAnsi="CMU Serif Roman" w:cs="CMU Serif Roman"/>
          <w:i/>
          <w:iCs/>
          <w:sz w:val="20"/>
          <w:szCs w:val="20"/>
          <w:lang w:val="en-US"/>
        </w:rPr>
      </w:pPr>
      <w:r w:rsidRPr="00C91D46">
        <w:rPr>
          <w:rFonts w:ascii="CMU Serif Roman" w:hAnsi="CMU Serif Roman" w:cs="CMU Serif Roman"/>
          <w:i/>
          <w:iCs/>
          <w:sz w:val="20"/>
          <w:szCs w:val="20"/>
          <w:lang w:val="en-US"/>
        </w:rPr>
        <w:t xml:space="preserve">Treatment fidelity </w:t>
      </w:r>
    </w:p>
    <w:p w14:paraId="3BAFE885"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The therapist adherence to the MST treatment model and the nine treatment principles was measured using </w:t>
      </w:r>
      <w:r w:rsidRPr="00C91D46">
        <w:rPr>
          <w:rFonts w:ascii="CMU Serif Roman" w:hAnsi="CMU Serif Roman" w:cs="CMU Serif Roman"/>
          <w:i/>
          <w:iCs/>
          <w:sz w:val="20"/>
          <w:szCs w:val="20"/>
          <w:lang w:val="en-US"/>
        </w:rPr>
        <w:t>the Therapist Adherence Measure - Revised</w:t>
      </w:r>
      <w:r w:rsidRPr="00C91D46">
        <w:rPr>
          <w:rFonts w:ascii="CMU Serif Roman" w:hAnsi="CMU Serif Roman" w:cs="CMU Serif Roman"/>
          <w:sz w:val="20"/>
          <w:szCs w:val="20"/>
          <w:lang w:val="en-US"/>
        </w:rPr>
        <w:t xml:space="preserve"> (TAM-R; Henggeler et al., 2006), a questionnaire of 28 items scored in a 5-point Likert scale ranging from (1) </w:t>
      </w:r>
      <w:r w:rsidRPr="00C91D46">
        <w:rPr>
          <w:rFonts w:ascii="CMU Serif Roman" w:hAnsi="CMU Serif Roman" w:cs="CMU Serif Roman"/>
          <w:i/>
          <w:iCs/>
          <w:sz w:val="20"/>
          <w:szCs w:val="20"/>
          <w:lang w:val="en-US"/>
        </w:rPr>
        <w:t xml:space="preserve">not at all </w:t>
      </w:r>
      <w:r w:rsidRPr="00C91D46">
        <w:rPr>
          <w:rFonts w:ascii="CMU Serif Roman" w:hAnsi="CMU Serif Roman" w:cs="CMU Serif Roman"/>
          <w:sz w:val="20"/>
          <w:szCs w:val="20"/>
          <w:lang w:val="en-US"/>
        </w:rPr>
        <w:t xml:space="preserve">to (5) </w:t>
      </w:r>
      <w:r w:rsidRPr="00C91D46">
        <w:rPr>
          <w:rFonts w:ascii="CMU Serif Roman" w:hAnsi="CMU Serif Roman" w:cs="CMU Serif Roman"/>
          <w:i/>
          <w:iCs/>
          <w:sz w:val="20"/>
          <w:szCs w:val="20"/>
          <w:lang w:val="en-US"/>
        </w:rPr>
        <w:t>very much</w:t>
      </w:r>
      <w:r w:rsidRPr="00C91D46">
        <w:rPr>
          <w:rFonts w:ascii="CMU Serif Roman" w:hAnsi="CMU Serif Roman" w:cs="CMU Serif Roman"/>
          <w:sz w:val="20"/>
          <w:szCs w:val="20"/>
          <w:lang w:val="en-US"/>
        </w:rPr>
        <w:t xml:space="preserve">. A total TAM-R score is calculated by dividing the number of items answered with </w:t>
      </w:r>
      <w:r w:rsidRPr="00C91D46">
        <w:rPr>
          <w:rFonts w:ascii="CMU Serif Roman" w:hAnsi="CMU Serif Roman" w:cs="CMU Serif Roman"/>
          <w:i/>
          <w:iCs/>
          <w:sz w:val="20"/>
          <w:szCs w:val="20"/>
          <w:lang w:val="en-US"/>
        </w:rPr>
        <w:t>very much</w:t>
      </w:r>
      <w:r w:rsidRPr="00C91D46">
        <w:rPr>
          <w:rFonts w:ascii="CMU Serif Roman" w:hAnsi="CMU Serif Roman" w:cs="CMU Serif Roman"/>
          <w:sz w:val="20"/>
          <w:szCs w:val="20"/>
          <w:lang w:val="en-US"/>
        </w:rPr>
        <w:t xml:space="preserve"> by the total number of items answered, resulting in a score ranging from 0 to 1. Cut-off for treatment fidelity has been set to 0.61 (NUBU, 2021). </w:t>
      </w:r>
    </w:p>
    <w:p w14:paraId="6677FA0D" w14:textId="77777777" w:rsidR="003D7854" w:rsidRPr="00C91D46" w:rsidRDefault="003D7854" w:rsidP="003D7854">
      <w:pPr>
        <w:spacing w:line="480" w:lineRule="auto"/>
        <w:rPr>
          <w:rFonts w:ascii="CMU Serif Roman" w:hAnsi="CMU Serif Roman" w:cs="CMU Serif Roman"/>
          <w:sz w:val="20"/>
          <w:szCs w:val="20"/>
          <w:lang w:val="en-US"/>
        </w:rPr>
      </w:pPr>
    </w:p>
    <w:p w14:paraId="23C0A65B" w14:textId="77777777" w:rsidR="003D7854" w:rsidRPr="00C91D46" w:rsidRDefault="003D7854" w:rsidP="003D7854">
      <w:pPr>
        <w:pStyle w:val="Heading2"/>
        <w:spacing w:line="480" w:lineRule="auto"/>
        <w:rPr>
          <w:rFonts w:ascii="CMU Serif Roman" w:hAnsi="CMU Serif Roman" w:cs="CMU Serif Roman"/>
          <w:b/>
          <w:bCs/>
          <w:lang w:val="en-US"/>
        </w:rPr>
      </w:pPr>
      <w:r w:rsidRPr="00C91D46">
        <w:rPr>
          <w:rFonts w:ascii="CMU Serif Roman" w:hAnsi="CMU Serif Roman" w:cs="CMU Serif Roman"/>
          <w:b/>
          <w:bCs/>
          <w:lang w:val="en-US"/>
        </w:rPr>
        <w:t>Statistical analysis</w:t>
      </w:r>
    </w:p>
    <w:p w14:paraId="30BABE89"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Analyses were performed using </w:t>
      </w:r>
      <w:proofErr w:type="spellStart"/>
      <w:r w:rsidRPr="00C91D46">
        <w:rPr>
          <w:rFonts w:ascii="CMU Serif Roman" w:hAnsi="CMU Serif Roman" w:cs="CMU Serif Roman"/>
          <w:sz w:val="20"/>
          <w:szCs w:val="20"/>
          <w:lang w:val="en-US"/>
        </w:rPr>
        <w:t>Mplus</w:t>
      </w:r>
      <w:proofErr w:type="spellEnd"/>
      <w:r w:rsidRPr="00C91D46">
        <w:rPr>
          <w:rFonts w:ascii="CMU Serif Roman" w:hAnsi="CMU Serif Roman" w:cs="CMU Serif Roman"/>
          <w:sz w:val="20"/>
          <w:szCs w:val="20"/>
          <w:lang w:val="en-US"/>
        </w:rPr>
        <w:t xml:space="preserve"> 8.9 (</w:t>
      </w:r>
      <w:proofErr w:type="spellStart"/>
      <w:r w:rsidRPr="00C91D46">
        <w:rPr>
          <w:rFonts w:ascii="CMU Serif Roman" w:hAnsi="CMU Serif Roman" w:cs="CMU Serif Roman"/>
          <w:sz w:val="20"/>
          <w:szCs w:val="20"/>
          <w:lang w:val="en-US"/>
        </w:rPr>
        <w:t>Muthén</w:t>
      </w:r>
      <w:proofErr w:type="spellEnd"/>
      <w:r w:rsidRPr="00C91D46">
        <w:rPr>
          <w:rFonts w:ascii="CMU Serif Roman" w:hAnsi="CMU Serif Roman" w:cs="CMU Serif Roman"/>
          <w:sz w:val="20"/>
          <w:szCs w:val="20"/>
          <w:lang w:val="en-US"/>
        </w:rPr>
        <w:t xml:space="preserve"> &amp; </w:t>
      </w:r>
      <w:proofErr w:type="spellStart"/>
      <w:r w:rsidRPr="00C91D46">
        <w:rPr>
          <w:rFonts w:ascii="CMU Serif Roman" w:hAnsi="CMU Serif Roman" w:cs="CMU Serif Roman"/>
          <w:sz w:val="20"/>
          <w:szCs w:val="20"/>
          <w:lang w:val="en-US"/>
        </w:rPr>
        <w:t>Muthén</w:t>
      </w:r>
      <w:proofErr w:type="spellEnd"/>
      <w:r w:rsidRPr="00C91D46">
        <w:rPr>
          <w:rFonts w:ascii="CMU Serif Roman" w:hAnsi="CMU Serif Roman" w:cs="CMU Serif Roman"/>
          <w:sz w:val="20"/>
          <w:szCs w:val="20"/>
          <w:lang w:val="en-US"/>
        </w:rPr>
        <w:t xml:space="preserve">, 2017). To compare the effectiveness of MST treatment before, during and after the lockdown date, I divided the sample into three groups: 1) before (all cases finishing treatment before the </w:t>
      </w:r>
      <w:r w:rsidRPr="00C91D46">
        <w:rPr>
          <w:rFonts w:ascii="CMU Serif Roman" w:hAnsi="CMU Serif Roman" w:cs="CMU Serif Roman"/>
          <w:sz w:val="20"/>
          <w:szCs w:val="20"/>
          <w:highlight w:val="cyan"/>
          <w:lang w:val="en-US"/>
        </w:rPr>
        <w:t>12</w:t>
      </w:r>
      <w:r w:rsidRPr="00C91D46">
        <w:rPr>
          <w:rFonts w:ascii="CMU Serif Roman" w:hAnsi="CMU Serif Roman" w:cs="CMU Serif Roman"/>
          <w:sz w:val="20"/>
          <w:szCs w:val="20"/>
          <w:highlight w:val="cyan"/>
          <w:vertAlign w:val="superscript"/>
          <w:lang w:val="en-US"/>
        </w:rPr>
        <w:t>th</w:t>
      </w:r>
      <w:r w:rsidRPr="00C91D46">
        <w:rPr>
          <w:rFonts w:ascii="CMU Serif Roman" w:hAnsi="CMU Serif Roman" w:cs="CMU Serif Roman"/>
          <w:sz w:val="20"/>
          <w:szCs w:val="20"/>
          <w:highlight w:val="cyan"/>
          <w:lang w:val="en-US"/>
        </w:rPr>
        <w:t xml:space="preserve"> of March 2020</w:t>
      </w:r>
      <w:r w:rsidRPr="00C91D46">
        <w:rPr>
          <w:rFonts w:ascii="CMU Serif Roman" w:hAnsi="CMU Serif Roman" w:cs="CMU Serif Roman"/>
          <w:sz w:val="20"/>
          <w:szCs w:val="20"/>
          <w:lang w:val="en-US"/>
        </w:rPr>
        <w:t xml:space="preserve">), 2) during (all cases that receive treatment on </w:t>
      </w:r>
      <w:r w:rsidRPr="00C91D46">
        <w:rPr>
          <w:rFonts w:ascii="CMU Serif Roman" w:hAnsi="CMU Serif Roman" w:cs="CMU Serif Roman"/>
          <w:sz w:val="20"/>
          <w:szCs w:val="20"/>
          <w:highlight w:val="cyan"/>
          <w:lang w:val="en-US"/>
        </w:rPr>
        <w:t>12</w:t>
      </w:r>
      <w:r w:rsidRPr="00C91D46">
        <w:rPr>
          <w:rFonts w:ascii="CMU Serif Roman" w:hAnsi="CMU Serif Roman" w:cs="CMU Serif Roman"/>
          <w:sz w:val="20"/>
          <w:szCs w:val="20"/>
          <w:highlight w:val="cyan"/>
          <w:vertAlign w:val="superscript"/>
          <w:lang w:val="en-US"/>
        </w:rPr>
        <w:t>th</w:t>
      </w:r>
      <w:r w:rsidRPr="00C91D46">
        <w:rPr>
          <w:rFonts w:ascii="CMU Serif Roman" w:hAnsi="CMU Serif Roman" w:cs="CMU Serif Roman"/>
          <w:sz w:val="20"/>
          <w:szCs w:val="20"/>
          <w:highlight w:val="cyan"/>
          <w:lang w:val="en-US"/>
        </w:rPr>
        <w:t xml:space="preserve"> of March</w:t>
      </w:r>
      <w:r w:rsidRPr="00C91D46">
        <w:rPr>
          <w:rFonts w:ascii="CMU Serif Roman" w:hAnsi="CMU Serif Roman" w:cs="CMU Serif Roman"/>
          <w:sz w:val="20"/>
          <w:szCs w:val="20"/>
          <w:lang w:val="en-US"/>
        </w:rPr>
        <w:t xml:space="preserve">), and 3) after lockdown (all cases that received the full treatment phase after the </w:t>
      </w:r>
      <w:r w:rsidRPr="00C91D46">
        <w:rPr>
          <w:rFonts w:ascii="CMU Serif Roman" w:hAnsi="CMU Serif Roman" w:cs="CMU Serif Roman"/>
          <w:sz w:val="20"/>
          <w:szCs w:val="20"/>
          <w:highlight w:val="cyan"/>
          <w:lang w:val="en-US"/>
        </w:rPr>
        <w:t>12</w:t>
      </w:r>
      <w:r w:rsidRPr="00C91D46">
        <w:rPr>
          <w:rFonts w:ascii="CMU Serif Roman" w:hAnsi="CMU Serif Roman" w:cs="CMU Serif Roman"/>
          <w:sz w:val="20"/>
          <w:szCs w:val="20"/>
          <w:highlight w:val="cyan"/>
          <w:vertAlign w:val="superscript"/>
          <w:lang w:val="en-US"/>
        </w:rPr>
        <w:t>th</w:t>
      </w:r>
      <w:r w:rsidRPr="00C91D46">
        <w:rPr>
          <w:rFonts w:ascii="CMU Serif Roman" w:hAnsi="CMU Serif Roman" w:cs="CMU Serif Roman"/>
          <w:sz w:val="20"/>
          <w:szCs w:val="20"/>
          <w:highlight w:val="cyan"/>
          <w:lang w:val="en-US"/>
        </w:rPr>
        <w:t xml:space="preserve"> of March</w:t>
      </w:r>
      <w:r w:rsidRPr="00C91D46">
        <w:rPr>
          <w:rFonts w:ascii="CMU Serif Roman" w:hAnsi="CMU Serif Roman" w:cs="CMU Serif Roman"/>
          <w:sz w:val="20"/>
          <w:szCs w:val="20"/>
          <w:lang w:val="en-US"/>
        </w:rPr>
        <w:t xml:space="preserve">). This grouping variable serves as the independent variable in the analysis. </w:t>
      </w:r>
      <w:r w:rsidRPr="00C91D46">
        <w:rPr>
          <w:rFonts w:ascii="CMU Serif Roman" w:hAnsi="CMU Serif Roman" w:cs="CMU Serif Roman"/>
          <w:sz w:val="20"/>
          <w:szCs w:val="20"/>
          <w:highlight w:val="cyan"/>
          <w:lang w:val="en-US"/>
        </w:rPr>
        <w:t>Throughout the rest of this article, I will talk about these groups and not the overall sample.</w:t>
      </w:r>
      <w:r w:rsidRPr="00C91D46">
        <w:rPr>
          <w:rFonts w:ascii="CMU Serif Roman" w:hAnsi="CMU Serif Roman" w:cs="CMU Serif Roman"/>
          <w:sz w:val="20"/>
          <w:szCs w:val="20"/>
          <w:lang w:val="en-US"/>
        </w:rPr>
        <w:t xml:space="preserve"> </w:t>
      </w:r>
    </w:p>
    <w:p w14:paraId="072C6092" w14:textId="77777777" w:rsidR="003D7854" w:rsidRPr="00C91D46" w:rsidRDefault="003D7854" w:rsidP="003D7854">
      <w:pPr>
        <w:spacing w:line="480" w:lineRule="auto"/>
        <w:rPr>
          <w:rFonts w:ascii="CMU Serif Roman" w:hAnsi="CMU Serif Roman" w:cs="CMU Serif Roman"/>
          <w:sz w:val="20"/>
          <w:szCs w:val="20"/>
          <w:lang w:val="en-US"/>
        </w:rPr>
      </w:pPr>
    </w:p>
    <w:p w14:paraId="4C816980" w14:textId="77777777" w:rsidR="003D7854" w:rsidRPr="00C91D46" w:rsidRDefault="003D7854" w:rsidP="003D7854">
      <w:pPr>
        <w:spacing w:line="480" w:lineRule="auto"/>
        <w:rPr>
          <w:rFonts w:ascii="CMU Serif Roman" w:hAnsi="CMU Serif Roman" w:cs="CMU Serif Roman"/>
          <w:color w:val="000000" w:themeColor="text1"/>
          <w:sz w:val="20"/>
          <w:szCs w:val="20"/>
          <w:lang w:val="en-US"/>
        </w:rPr>
      </w:pPr>
      <w:r w:rsidRPr="00C91D46">
        <w:rPr>
          <w:rFonts w:ascii="CMU Serif Roman" w:hAnsi="CMU Serif Roman" w:cs="CMU Serif Roman"/>
          <w:sz w:val="20"/>
          <w:szCs w:val="20"/>
          <w:lang w:val="en-US"/>
        </w:rPr>
        <w:t xml:space="preserve">In answer to the first and second question I am evaluating the effectiveness of the lockdown on the outcome of MST treatment using </w:t>
      </w:r>
      <w:r w:rsidRPr="00C91D46">
        <w:rPr>
          <w:rFonts w:ascii="CMU Serif Roman" w:hAnsi="CMU Serif Roman" w:cs="CMU Serif Roman"/>
          <w:sz w:val="20"/>
          <w:szCs w:val="20"/>
          <w:highlight w:val="cyan"/>
          <w:lang w:val="en-US"/>
        </w:rPr>
        <w:t>two linear models</w:t>
      </w:r>
      <w:r w:rsidRPr="00C91D46">
        <w:rPr>
          <w:rFonts w:ascii="CMU Serif Roman" w:hAnsi="CMU Serif Roman" w:cs="CMU Serif Roman"/>
          <w:sz w:val="20"/>
          <w:szCs w:val="20"/>
          <w:lang w:val="en-US"/>
        </w:rPr>
        <w:t xml:space="preserve">. The number of achieved ultimate outcomes at discharge (generated by collapsing the separate national outcome goals into one continuous variable, ranging from 0 - 5) is the dependent variable in one of these models, while the other model uses the YLS/CMI total at discharge. Due to this study’s exploratory design, several variables were included as covariates in the linear models. Including TAM-R and demographic information such as gender (a dummy variable, with male as reference level), age, lives in foster care, received health care, returned from institutional treatment, a dummy coded earlier treatment variable (the different previous </w:t>
      </w:r>
      <w:r w:rsidRPr="00C91D46">
        <w:rPr>
          <w:rFonts w:ascii="CMU Serif Roman" w:hAnsi="CMU Serif Roman" w:cs="CMU Serif Roman"/>
          <w:sz w:val="20"/>
          <w:szCs w:val="20"/>
          <w:lang w:val="en-US"/>
        </w:rPr>
        <w:lastRenderedPageBreak/>
        <w:t xml:space="preserve">treatments collapsed into one prior treatment category (1) vs. no prior treatment (0)), two immigrant status dummy variables (immigrants (named “immi1”) vs. nonimmigrants and immigrant parents (0); immigrant parents (named “immi2”) vs. nonimmigrants and immigrants (0)), and two dummy coded treatment region variables (middle (1) vs. the 4 other regions (0); north (1) vs. the 4 other regions (0)). </w:t>
      </w:r>
      <w:r w:rsidRPr="00C91D46">
        <w:rPr>
          <w:rFonts w:ascii="CMU Serif Roman" w:hAnsi="CMU Serif Roman" w:cs="CMU Serif Roman"/>
          <w:color w:val="000000" w:themeColor="text1"/>
          <w:sz w:val="20"/>
          <w:szCs w:val="20"/>
          <w:lang w:val="en-US"/>
        </w:rPr>
        <w:t>In addition, baseline scores on the ultimate outcomes were added to the ultimate outcome model as a covariate, and the baseline YLS/CMI total to the YLS/CMI model. In this way, I control for potential differences at intake between the groups. By doing so, three results tables with main effects for each of the two linear models are generated, one for each group. Specifically, to answer the first research question about whether there are any changes in treatment outcomes I investigate the intercept of the linear models</w:t>
      </w:r>
      <w:r w:rsidRPr="00C91D46">
        <w:rPr>
          <w:rFonts w:ascii="CMU Serif Roman" w:hAnsi="CMU Serif Roman" w:cs="CMU Serif Roman"/>
          <w:color w:val="000000" w:themeColor="text1"/>
          <w:sz w:val="20"/>
          <w:szCs w:val="20"/>
          <w:highlight w:val="cyan"/>
          <w:lang w:val="en-US"/>
        </w:rPr>
        <w:t>. In addition to … ()</w:t>
      </w:r>
      <w:r w:rsidRPr="00C91D46">
        <w:rPr>
          <w:rFonts w:ascii="CMU Serif Roman" w:hAnsi="CMU Serif Roman" w:cs="CMU Serif Roman"/>
          <w:color w:val="000000" w:themeColor="text1"/>
          <w:sz w:val="20"/>
          <w:szCs w:val="20"/>
          <w:lang w:val="en-US"/>
        </w:rPr>
        <w:t xml:space="preserve">. The standardized slope coefficients in the two models were compared separately across groups to answer the second question about changes in covariates. </w:t>
      </w:r>
    </w:p>
    <w:p w14:paraId="1BB930A3" w14:textId="77777777" w:rsidR="003D7854" w:rsidRPr="00C91D46" w:rsidRDefault="003D7854" w:rsidP="003D7854">
      <w:pPr>
        <w:rPr>
          <w:rFonts w:ascii="CMU Serif Roman" w:hAnsi="CMU Serif Roman" w:cs="CMU Serif Roman"/>
          <w:sz w:val="20"/>
          <w:szCs w:val="20"/>
          <w:lang w:val="en-US"/>
        </w:rPr>
      </w:pPr>
    </w:p>
    <w:p w14:paraId="2A8BAE97"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In answer to the third research question about differences in growth patterns for the tree groups responses to MST, I apply a one faced latent growth curve model (LGCM). This kind of statistical approach is widely used for analyzing change over time (Geiser et al., 2013). The LGCM constitute a multi-group analysis, due to the inclusion of the grouping variable, with five time-points (T0-T5). Data collected at admission (T0), discharge (T1), and 6- (T2), 12- (T3), and 18- (T4) month follow-ups after discharge on the number of achieved ultimate outcomes were used as dependent variables in the analysis. The discharge time (T1) is set to vary by number of months of treatment the youths received (the interval between T0 and T1 thus vary by youths), while T0 and T2-T4 has a fixed time interval (T0 = 0 months, T2 = 6 months after discharge, T3 = 6 months after T2, and T4 = 6 months after T3). By doing so, the LGCM obtain an exact growth trajectory of each adolescent. </w:t>
      </w:r>
      <w:r w:rsidRPr="00C91D46">
        <w:rPr>
          <w:rFonts w:ascii="CMU Serif Roman" w:hAnsi="CMU Serif Roman" w:cs="CMU Serif Roman"/>
          <w:sz w:val="20"/>
          <w:szCs w:val="20"/>
          <w:highlight w:val="cyan"/>
          <w:lang w:val="en-US"/>
        </w:rPr>
        <w:t>(Tony – do I have to report the factor loadings?)</w:t>
      </w:r>
      <w:r w:rsidRPr="00C91D46">
        <w:rPr>
          <w:rFonts w:ascii="CMU Serif Roman" w:hAnsi="CMU Serif Roman" w:cs="CMU Serif Roman"/>
          <w:sz w:val="20"/>
          <w:szCs w:val="20"/>
          <w:lang w:val="en-US"/>
        </w:rPr>
        <w:t xml:space="preserve">. The covariates included in the growth curve model are the same as in the linear models, except from the baseline scores on the outcome variables which is excluded. Instead, a change score on YLS/CMI total is included, calculated by subtracting the baseline </w:t>
      </w:r>
      <w:r w:rsidRPr="00C91D46">
        <w:rPr>
          <w:rFonts w:ascii="CMU Serif Roman" w:hAnsi="CMU Serif Roman" w:cs="CMU Serif Roman"/>
          <w:sz w:val="20"/>
          <w:szCs w:val="20"/>
          <w:lang w:val="en-US"/>
        </w:rPr>
        <w:lastRenderedPageBreak/>
        <w:t>score by the discharge score. The model included an intercept and a linear slope, instead of a quadratic slope. This decision was made due to the testing of nonlinearity in individual lines of trajectory, where every indicator was non-significant (</w:t>
      </w:r>
      <w:r w:rsidRPr="00C91D46">
        <w:rPr>
          <w:rFonts w:ascii="CMU Serif Roman" w:hAnsi="CMU Serif Roman" w:cs="CMU Serif Roman"/>
          <w:sz w:val="20"/>
          <w:szCs w:val="20"/>
          <w:highlight w:val="cyan"/>
          <w:lang w:val="en-US"/>
        </w:rPr>
        <w:t>Tony – Do we have this documented?)</w:t>
      </w:r>
      <w:r w:rsidRPr="00C91D46">
        <w:rPr>
          <w:rFonts w:ascii="CMU Serif Roman" w:hAnsi="CMU Serif Roman" w:cs="CMU Serif Roman"/>
          <w:sz w:val="20"/>
          <w:szCs w:val="20"/>
          <w:lang w:val="en-US"/>
        </w:rPr>
        <w:t xml:space="preserve">. This indicates that the data fit the linear model better than the nonlinear model. In this unstandardized model I only interpret the direction of </w:t>
      </w:r>
      <w:r w:rsidRPr="00C91D46">
        <w:rPr>
          <w:rFonts w:ascii="CMU Serif Roman" w:hAnsi="CMU Serif Roman" w:cs="CMU Serif Roman"/>
          <w:sz w:val="20"/>
          <w:szCs w:val="20"/>
          <w:highlight w:val="cyan"/>
          <w:lang w:val="en-US"/>
        </w:rPr>
        <w:t>the coefficient</w:t>
      </w:r>
      <w:r w:rsidRPr="00C91D46">
        <w:rPr>
          <w:rFonts w:ascii="CMU Serif Roman" w:hAnsi="CMU Serif Roman" w:cs="CMU Serif Roman"/>
          <w:sz w:val="20"/>
          <w:szCs w:val="20"/>
          <w:lang w:val="en-US"/>
        </w:rPr>
        <w:t xml:space="preserve">, not the quantity, due to the </w:t>
      </w:r>
      <w:proofErr w:type="gramStart"/>
      <w:r w:rsidRPr="00C91D46">
        <w:rPr>
          <w:rFonts w:ascii="CMU Serif Roman" w:hAnsi="CMU Serif Roman" w:cs="CMU Serif Roman"/>
          <w:sz w:val="20"/>
          <w:szCs w:val="20"/>
          <w:lang w:val="en-US"/>
        </w:rPr>
        <w:t>covariates</w:t>
      </w:r>
      <w:proofErr w:type="gramEnd"/>
      <w:r w:rsidRPr="00C91D46">
        <w:rPr>
          <w:rFonts w:ascii="CMU Serif Roman" w:hAnsi="CMU Serif Roman" w:cs="CMU Serif Roman"/>
          <w:sz w:val="20"/>
          <w:szCs w:val="20"/>
          <w:lang w:val="en-US"/>
        </w:rPr>
        <w:t xml:space="preserve"> different scales, which makes it difficult to compare the </w:t>
      </w:r>
      <w:proofErr w:type="spellStart"/>
      <w:r w:rsidRPr="00C91D46">
        <w:rPr>
          <w:rFonts w:ascii="CMU Serif Roman" w:hAnsi="CMU Serif Roman" w:cs="CMU Serif Roman"/>
          <w:sz w:val="20"/>
          <w:szCs w:val="20"/>
          <w:highlight w:val="cyan"/>
          <w:lang w:val="en-US"/>
        </w:rPr>
        <w:t>coeffisients</w:t>
      </w:r>
      <w:proofErr w:type="spellEnd"/>
      <w:r w:rsidRPr="00C91D46">
        <w:rPr>
          <w:rFonts w:ascii="CMU Serif Roman" w:hAnsi="CMU Serif Roman" w:cs="CMU Serif Roman"/>
          <w:sz w:val="20"/>
          <w:szCs w:val="20"/>
          <w:lang w:val="en-US"/>
        </w:rPr>
        <w:t xml:space="preserve"> of the different covariates (Navarro &amp; Foxcroft, 2022, p. 307 - 308). </w:t>
      </w:r>
    </w:p>
    <w:p w14:paraId="4BB5945F" w14:textId="77777777" w:rsidR="003D7854" w:rsidRPr="00C91D46" w:rsidRDefault="003D7854" w:rsidP="003D7854">
      <w:pPr>
        <w:spacing w:line="480" w:lineRule="auto"/>
        <w:rPr>
          <w:rFonts w:ascii="CMU Serif Roman" w:hAnsi="CMU Serif Roman" w:cs="CMU Serif Roman"/>
          <w:sz w:val="20"/>
          <w:szCs w:val="20"/>
          <w:lang w:val="en-US"/>
        </w:rPr>
      </w:pPr>
    </w:p>
    <w:p w14:paraId="1009DF39"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For all three models I employed Mplus`s restricted maximum likelihood estimator (MLR; </w:t>
      </w:r>
      <w:proofErr w:type="spellStart"/>
      <w:r w:rsidRPr="00C91D46">
        <w:rPr>
          <w:rFonts w:ascii="CMU Serif Roman" w:hAnsi="CMU Serif Roman" w:cs="CMU Serif Roman"/>
          <w:sz w:val="20"/>
          <w:szCs w:val="20"/>
          <w:lang w:val="en-US"/>
        </w:rPr>
        <w:t>Muthén</w:t>
      </w:r>
      <w:proofErr w:type="spellEnd"/>
      <w:r w:rsidRPr="00C91D46">
        <w:rPr>
          <w:rFonts w:ascii="CMU Serif Roman" w:hAnsi="CMU Serif Roman" w:cs="CMU Serif Roman"/>
          <w:sz w:val="20"/>
          <w:szCs w:val="20"/>
          <w:lang w:val="en-US"/>
        </w:rPr>
        <w:t xml:space="preserve"> &amp; </w:t>
      </w:r>
      <w:proofErr w:type="spellStart"/>
      <w:r w:rsidRPr="00C91D46">
        <w:rPr>
          <w:rFonts w:ascii="CMU Serif Roman" w:hAnsi="CMU Serif Roman" w:cs="CMU Serif Roman"/>
          <w:sz w:val="20"/>
          <w:szCs w:val="20"/>
          <w:lang w:val="en-US"/>
        </w:rPr>
        <w:t>Muthén</w:t>
      </w:r>
      <w:proofErr w:type="spellEnd"/>
      <w:r w:rsidRPr="00C91D46">
        <w:rPr>
          <w:rFonts w:ascii="CMU Serif Roman" w:hAnsi="CMU Serif Roman" w:cs="CMU Serif Roman"/>
          <w:sz w:val="20"/>
          <w:szCs w:val="20"/>
          <w:lang w:val="en-US"/>
        </w:rPr>
        <w:t xml:space="preserve">, 2017) thanks to MLR`s robustness against potential violation of Gauss-Markov assumptions (Wooldridge, 2020). </w:t>
      </w:r>
    </w:p>
    <w:p w14:paraId="65C557F6" w14:textId="77777777" w:rsidR="003D7854" w:rsidRPr="00C91D46" w:rsidRDefault="003D7854" w:rsidP="003D7854">
      <w:pPr>
        <w:rPr>
          <w:rFonts w:ascii="CMU Serif Roman" w:hAnsi="CMU Serif Roman" w:cs="CMU Serif Roman"/>
          <w:sz w:val="20"/>
          <w:szCs w:val="20"/>
          <w:lang w:val="en-US"/>
        </w:rPr>
      </w:pPr>
    </w:p>
    <w:p w14:paraId="5ECC526E" w14:textId="77777777" w:rsidR="003D7854" w:rsidRPr="00C91D46" w:rsidRDefault="003D7854" w:rsidP="003D7854">
      <w:pPr>
        <w:pStyle w:val="Heading3"/>
        <w:spacing w:line="480" w:lineRule="auto"/>
        <w:rPr>
          <w:rFonts w:ascii="CMU Serif Roman" w:hAnsi="CMU Serif Roman" w:cs="CMU Serif Roman"/>
          <w:i/>
          <w:iCs/>
          <w:sz w:val="20"/>
          <w:szCs w:val="20"/>
          <w:lang w:val="en-US"/>
        </w:rPr>
      </w:pPr>
      <w:r w:rsidRPr="00C91D46">
        <w:rPr>
          <w:rFonts w:ascii="CMU Serif Roman" w:hAnsi="CMU Serif Roman" w:cs="CMU Serif Roman"/>
          <w:i/>
          <w:iCs/>
          <w:sz w:val="20"/>
          <w:szCs w:val="20"/>
          <w:lang w:val="en-US"/>
        </w:rPr>
        <w:t>Missing data and attrition</w:t>
      </w:r>
    </w:p>
    <w:p w14:paraId="5F832C89"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 xml:space="preserve">The percentage of missing values across the 19 variables varied between 0 and 50.22%. </w:t>
      </w:r>
      <w:r w:rsidRPr="00C91D46">
        <w:rPr>
          <w:rFonts w:ascii="CMU Serif Roman" w:hAnsi="CMU Serif Roman" w:cs="CMU Serif Roman"/>
          <w:sz w:val="20"/>
          <w:szCs w:val="20"/>
          <w:highlight w:val="cyan"/>
          <w:lang w:val="en-US"/>
        </w:rPr>
        <w:t>In total … out of … records (…%) were incomplete</w:t>
      </w:r>
      <w:r w:rsidRPr="00C91D46">
        <w:rPr>
          <w:rFonts w:ascii="CMU Serif Roman" w:hAnsi="CMU Serif Roman" w:cs="CMU Serif Roman"/>
          <w:sz w:val="20"/>
          <w:szCs w:val="20"/>
          <w:lang w:val="en-US"/>
        </w:rPr>
        <w:t xml:space="preserve">. </w:t>
      </w:r>
      <w:r w:rsidRPr="00C91D46">
        <w:rPr>
          <w:rFonts w:ascii="CMU Serif Roman" w:hAnsi="CMU Serif Roman" w:cs="CMU Serif Roman"/>
          <w:sz w:val="20"/>
          <w:szCs w:val="20"/>
          <w:highlight w:val="magenta"/>
          <w:lang w:val="en-US"/>
        </w:rPr>
        <w:t>Many families had no TAM-R score due to the European Union`s legislation (</w:t>
      </w:r>
      <w:proofErr w:type="spellStart"/>
      <w:r w:rsidRPr="00C91D46">
        <w:rPr>
          <w:rFonts w:ascii="CMU Serif Roman" w:hAnsi="CMU Serif Roman" w:cs="CMU Serif Roman"/>
          <w:sz w:val="20"/>
          <w:szCs w:val="20"/>
          <w:highlight w:val="magenta"/>
          <w:lang w:val="en-US"/>
        </w:rPr>
        <w:t>Schrems</w:t>
      </w:r>
      <w:proofErr w:type="spellEnd"/>
      <w:r w:rsidRPr="00C91D46">
        <w:rPr>
          <w:rFonts w:ascii="CMU Serif Roman" w:hAnsi="CMU Serif Roman" w:cs="CMU Serif Roman"/>
          <w:sz w:val="20"/>
          <w:szCs w:val="20"/>
          <w:highlight w:val="magenta"/>
          <w:lang w:val="en-US"/>
        </w:rPr>
        <w:t xml:space="preserve"> II; </w:t>
      </w:r>
      <w:proofErr w:type="spellStart"/>
      <w:r w:rsidRPr="00C91D46">
        <w:rPr>
          <w:rFonts w:ascii="CMU Serif Roman" w:hAnsi="CMU Serif Roman" w:cs="CMU Serif Roman"/>
          <w:sz w:val="20"/>
          <w:szCs w:val="20"/>
          <w:highlight w:val="magenta"/>
          <w:lang w:val="en-US"/>
        </w:rPr>
        <w:t>Datilsynet</w:t>
      </w:r>
      <w:proofErr w:type="spellEnd"/>
      <w:r w:rsidRPr="00C91D46">
        <w:rPr>
          <w:rFonts w:ascii="CMU Serif Roman" w:hAnsi="CMU Serif Roman" w:cs="CMU Serif Roman"/>
          <w:sz w:val="20"/>
          <w:szCs w:val="20"/>
          <w:highlight w:val="magenta"/>
          <w:lang w:val="en-US"/>
        </w:rPr>
        <w:t>, 2021) which came in force the summer 2020, regulating the transfer of personal data to countries outside the European Economic Area (EEA). Due to ethical considerations, no follow-up information has been collected for non-completers, which may partly explain the amount of missing data on these variables</w:t>
      </w:r>
      <w:r w:rsidRPr="00C91D46">
        <w:rPr>
          <w:rFonts w:ascii="CMU Serif Roman" w:hAnsi="CMU Serif Roman" w:cs="CMU Serif Roman"/>
          <w:sz w:val="20"/>
          <w:szCs w:val="20"/>
          <w:lang w:val="en-US"/>
        </w:rPr>
        <w:t xml:space="preserve">. I used multiple imputation to create and analyze 10 multiply imputed datasets. Multiple imputation is regarded as the best practice for handling missing data because it improves statistical power and accuracy relative to other techniques (van </w:t>
      </w:r>
      <w:proofErr w:type="spellStart"/>
      <w:r w:rsidRPr="00C91D46">
        <w:rPr>
          <w:rFonts w:ascii="CMU Serif Roman" w:hAnsi="CMU Serif Roman" w:cs="CMU Serif Roman"/>
          <w:sz w:val="20"/>
          <w:szCs w:val="20"/>
          <w:lang w:val="en-US"/>
        </w:rPr>
        <w:t>Buuren</w:t>
      </w:r>
      <w:proofErr w:type="spellEnd"/>
      <w:r w:rsidRPr="00C91D46">
        <w:rPr>
          <w:rFonts w:ascii="CMU Serif Roman" w:hAnsi="CMU Serif Roman" w:cs="CMU Serif Roman"/>
          <w:sz w:val="20"/>
          <w:szCs w:val="20"/>
          <w:lang w:val="en-US"/>
        </w:rPr>
        <w:t>, 2018). Incomplete variables were imputed using Mplus`s internal imputation capacity (</w:t>
      </w:r>
      <w:proofErr w:type="spellStart"/>
      <w:r w:rsidRPr="00C91D46">
        <w:rPr>
          <w:rFonts w:ascii="CMU Serif Roman" w:hAnsi="CMU Serif Roman" w:cs="CMU Serif Roman"/>
          <w:sz w:val="20"/>
          <w:szCs w:val="20"/>
          <w:lang w:val="en-US"/>
        </w:rPr>
        <w:t>Muthén</w:t>
      </w:r>
      <w:proofErr w:type="spellEnd"/>
      <w:r w:rsidRPr="00C91D46">
        <w:rPr>
          <w:rFonts w:ascii="CMU Serif Roman" w:hAnsi="CMU Serif Roman" w:cs="CMU Serif Roman"/>
          <w:sz w:val="20"/>
          <w:szCs w:val="20"/>
          <w:lang w:val="en-US"/>
        </w:rPr>
        <w:t xml:space="preserve"> &amp; </w:t>
      </w:r>
      <w:proofErr w:type="spellStart"/>
      <w:r w:rsidRPr="00C91D46">
        <w:rPr>
          <w:rFonts w:ascii="CMU Serif Roman" w:hAnsi="CMU Serif Roman" w:cs="CMU Serif Roman"/>
          <w:sz w:val="20"/>
          <w:szCs w:val="20"/>
          <w:lang w:val="en-US"/>
        </w:rPr>
        <w:t>Muthén</w:t>
      </w:r>
      <w:proofErr w:type="spellEnd"/>
      <w:r w:rsidRPr="00C91D46">
        <w:rPr>
          <w:rFonts w:ascii="CMU Serif Roman" w:hAnsi="CMU Serif Roman" w:cs="CMU Serif Roman"/>
          <w:sz w:val="20"/>
          <w:szCs w:val="20"/>
          <w:lang w:val="en-US"/>
        </w:rPr>
        <w:t xml:space="preserve">, 2017). </w:t>
      </w:r>
      <w:r w:rsidRPr="00C91D46">
        <w:rPr>
          <w:rFonts w:ascii="CMU Serif Roman" w:hAnsi="CMU Serif Roman" w:cs="CMU Serif Roman"/>
          <w:sz w:val="20"/>
          <w:szCs w:val="20"/>
          <w:highlight w:val="cyan"/>
          <w:lang w:val="en-US"/>
        </w:rPr>
        <w:t>The parameters were estimated in each imputed dataset separately, and combined using Rubin`s rules (</w:t>
      </w:r>
      <w:r w:rsidRPr="00C91D46">
        <w:rPr>
          <w:rFonts w:ascii="CMU Serif Roman" w:hAnsi="CMU Serif Roman" w:cs="CMU Serif Roman"/>
          <w:b/>
          <w:bCs/>
          <w:sz w:val="20"/>
          <w:szCs w:val="20"/>
          <w:highlight w:val="cyan"/>
          <w:lang w:val="en-US"/>
        </w:rPr>
        <w:t>this is copy-paste</w:t>
      </w:r>
      <w:r w:rsidRPr="00C91D46">
        <w:rPr>
          <w:rFonts w:ascii="CMU Serif Roman" w:hAnsi="CMU Serif Roman" w:cs="CMU Serif Roman"/>
          <w:sz w:val="20"/>
          <w:szCs w:val="20"/>
          <w:highlight w:val="cyan"/>
          <w:lang w:val="en-US"/>
        </w:rPr>
        <w:t>).</w:t>
      </w:r>
      <w:r w:rsidRPr="00C91D46">
        <w:rPr>
          <w:rFonts w:ascii="CMU Serif Roman" w:hAnsi="CMU Serif Roman" w:cs="CMU Serif Roman"/>
          <w:sz w:val="20"/>
          <w:szCs w:val="20"/>
          <w:lang w:val="en-US"/>
        </w:rPr>
        <w:t xml:space="preserve"> For comparison, I also performed the analysis on the subset of cases without missing data at the independent variables, which hardly affect the parameters </w:t>
      </w:r>
      <w:r w:rsidRPr="00C91D46">
        <w:rPr>
          <w:rFonts w:ascii="CMU Serif Roman" w:hAnsi="CMU Serif Roman" w:cs="CMU Serif Roman"/>
          <w:sz w:val="20"/>
          <w:szCs w:val="20"/>
          <w:highlight w:val="cyan"/>
          <w:lang w:val="en-US"/>
        </w:rPr>
        <w:t>(Tony - is this the correct formulation?)</w:t>
      </w:r>
    </w:p>
    <w:p w14:paraId="46507729" w14:textId="77777777" w:rsidR="003D7854" w:rsidRPr="00C91D46" w:rsidRDefault="003D7854" w:rsidP="003D7854">
      <w:pPr>
        <w:spacing w:line="480" w:lineRule="auto"/>
        <w:rPr>
          <w:rFonts w:ascii="CMU Serif Roman" w:hAnsi="CMU Serif Roman" w:cs="CMU Serif Roman"/>
          <w:sz w:val="20"/>
          <w:szCs w:val="20"/>
          <w:lang w:val="en-US"/>
        </w:rPr>
      </w:pPr>
    </w:p>
    <w:p w14:paraId="17F82F3F" w14:textId="77777777" w:rsidR="003D7854" w:rsidRPr="00C91D46" w:rsidRDefault="003D7854" w:rsidP="003D7854">
      <w:pPr>
        <w:pStyle w:val="Heading1"/>
        <w:spacing w:line="480" w:lineRule="auto"/>
        <w:rPr>
          <w:rFonts w:ascii="CMU Serif Roman" w:hAnsi="CMU Serif Roman" w:cs="CMU Serif Roman"/>
          <w:b/>
          <w:bCs/>
          <w:lang w:val="en-US"/>
        </w:rPr>
      </w:pPr>
      <w:r w:rsidRPr="00C91D46">
        <w:rPr>
          <w:rFonts w:ascii="CMU Serif Roman" w:hAnsi="CMU Serif Roman" w:cs="CMU Serif Roman"/>
          <w:b/>
          <w:bCs/>
          <w:lang w:val="en-US"/>
        </w:rPr>
        <w:t xml:space="preserve">Results </w:t>
      </w:r>
    </w:p>
    <w:p w14:paraId="27394514" w14:textId="77777777" w:rsidR="003D7854" w:rsidRPr="00C91D46" w:rsidRDefault="003D7854" w:rsidP="003D7854">
      <w:pPr>
        <w:pStyle w:val="Heading2"/>
        <w:spacing w:line="480" w:lineRule="auto"/>
        <w:rPr>
          <w:rFonts w:ascii="CMU Serif Roman" w:hAnsi="CMU Serif Roman" w:cs="CMU Serif Roman"/>
          <w:b/>
          <w:bCs/>
          <w:lang w:val="en-US"/>
        </w:rPr>
      </w:pPr>
      <w:r w:rsidRPr="00C91D46">
        <w:rPr>
          <w:rFonts w:ascii="CMU Serif Roman" w:hAnsi="CMU Serif Roman" w:cs="CMU Serif Roman"/>
          <w:b/>
          <w:bCs/>
          <w:lang w:val="en-US"/>
        </w:rPr>
        <w:t xml:space="preserve">Descriptive statistics </w:t>
      </w:r>
    </w:p>
    <w:p w14:paraId="5B1BC4CA" w14:textId="77777777" w:rsidR="003D7854" w:rsidRPr="00C91D46" w:rsidRDefault="003D7854" w:rsidP="003D7854">
      <w:pPr>
        <w:spacing w:line="480" w:lineRule="auto"/>
        <w:rPr>
          <w:rFonts w:ascii="CMU Serif Roman" w:hAnsi="CMU Serif Roman" w:cs="CMU Serif Roman"/>
          <w:sz w:val="20"/>
          <w:szCs w:val="20"/>
          <w:lang w:val="en-US"/>
        </w:rPr>
      </w:pPr>
      <w:r w:rsidRPr="00C91D46">
        <w:rPr>
          <w:rFonts w:ascii="CMU Serif Roman" w:hAnsi="CMU Serif Roman" w:cs="CMU Serif Roman"/>
          <w:sz w:val="20"/>
          <w:szCs w:val="20"/>
          <w:lang w:val="en-US"/>
        </w:rPr>
        <w:t>Table 1 presents the descriptive statistics for both the overall sample, and the before, during and after lockdown groups. This table shows, for example, that 40.8% of those who received treatment when Norway introduced the national lockdown were girls. (</w:t>
      </w:r>
      <w:r w:rsidRPr="00C91D46">
        <w:rPr>
          <w:rFonts w:ascii="CMU Serif Roman" w:hAnsi="CMU Serif Roman" w:cs="CMU Serif Roman"/>
          <w:b/>
          <w:bCs/>
          <w:sz w:val="20"/>
          <w:szCs w:val="20"/>
          <w:lang w:val="en-US"/>
        </w:rPr>
        <w:t>Place Table 1 here</w:t>
      </w:r>
      <w:r w:rsidRPr="00C91D46">
        <w:rPr>
          <w:rFonts w:ascii="CMU Serif Roman" w:hAnsi="CMU Serif Roman" w:cs="CMU Serif Roman"/>
          <w:sz w:val="20"/>
          <w:szCs w:val="20"/>
          <w:lang w:val="en-US"/>
        </w:rPr>
        <w:t xml:space="preserve">). </w:t>
      </w:r>
    </w:p>
    <w:p w14:paraId="2297E38F" w14:textId="77777777" w:rsidR="00285789" w:rsidRPr="00C91D46" w:rsidRDefault="00000000">
      <w:pPr>
        <w:rPr>
          <w:rFonts w:ascii="CMU Serif Roman" w:hAnsi="CMU Serif Roman" w:cs="CMU Serif Roman"/>
        </w:rPr>
      </w:pPr>
    </w:p>
    <w:sectPr w:rsidR="00285789" w:rsidRPr="00C91D46" w:rsidSect="00362B0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MU Serif Roman">
    <w:altName w:val="CMU SERIF ROMAN"/>
    <w:panose1 w:val="02000603000000000000"/>
    <w:charset w:val="00"/>
    <w:family w:val="auto"/>
    <w:pitch w:val="variable"/>
    <w:sig w:usb0="E10002FF" w:usb1="5201E9EB" w:usb2="02020004"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854"/>
    <w:rsid w:val="002128D2"/>
    <w:rsid w:val="00230C0C"/>
    <w:rsid w:val="00277006"/>
    <w:rsid w:val="002F026A"/>
    <w:rsid w:val="00325227"/>
    <w:rsid w:val="00346352"/>
    <w:rsid w:val="00362B0F"/>
    <w:rsid w:val="003D7854"/>
    <w:rsid w:val="004E73B3"/>
    <w:rsid w:val="00A27578"/>
    <w:rsid w:val="00C91D46"/>
    <w:rsid w:val="00E601A9"/>
    <w:rsid w:val="00F35FA7"/>
    <w:rsid w:val="00F935A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87CA"/>
  <w15:chartTrackingRefBased/>
  <w15:docId w15:val="{B3D9AEE9-78D0-1B4B-8B3C-A860E8715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nb-N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854"/>
    <w:rPr>
      <w:kern w:val="0"/>
      <w14:ligatures w14:val="none"/>
    </w:rPr>
  </w:style>
  <w:style w:type="paragraph" w:styleId="Heading1">
    <w:name w:val="heading 1"/>
    <w:basedOn w:val="Normal"/>
    <w:next w:val="Normal"/>
    <w:link w:val="Heading1Char"/>
    <w:uiPriority w:val="9"/>
    <w:qFormat/>
    <w:rsid w:val="003D78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785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D785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854"/>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3D7854"/>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rsid w:val="003D7854"/>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9</Pages>
  <Words>2456</Words>
  <Characters>14000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Katrine Skog</dc:creator>
  <cp:keywords/>
  <dc:description/>
  <cp:lastModifiedBy>Microsoft Office User</cp:lastModifiedBy>
  <cp:revision>6</cp:revision>
  <dcterms:created xsi:type="dcterms:W3CDTF">2023-04-30T09:13:00Z</dcterms:created>
  <dcterms:modified xsi:type="dcterms:W3CDTF">2023-05-01T16:31:00Z</dcterms:modified>
</cp:coreProperties>
</file>