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62F" w:rsidRDefault="004B762F">
      <w:pPr>
        <w:pStyle w:val="BodyText"/>
        <w:rPr>
          <w:rFonts w:ascii="Times New Roman"/>
          <w:sz w:val="20"/>
        </w:rPr>
      </w:pPr>
    </w:p>
    <w:p w:rsidR="004B762F" w:rsidRDefault="004B762F">
      <w:pPr>
        <w:pStyle w:val="BodyText"/>
        <w:spacing w:before="1"/>
      </w:pPr>
      <w:bookmarkStart w:id="0" w:name="_GoBack"/>
      <w:bookmarkEnd w:id="0"/>
    </w:p>
    <w:tbl>
      <w:tblPr>
        <w:tblW w:w="0" w:type="auto"/>
        <w:tblInd w:w="2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7"/>
        <w:gridCol w:w="1685"/>
        <w:gridCol w:w="852"/>
        <w:gridCol w:w="847"/>
        <w:gridCol w:w="855"/>
        <w:gridCol w:w="850"/>
        <w:gridCol w:w="852"/>
        <w:gridCol w:w="850"/>
        <w:gridCol w:w="818"/>
        <w:gridCol w:w="856"/>
      </w:tblGrid>
      <w:tr w:rsidR="004B762F">
        <w:trPr>
          <w:trHeight w:val="827"/>
        </w:trPr>
        <w:tc>
          <w:tcPr>
            <w:tcW w:w="2272" w:type="dxa"/>
            <w:gridSpan w:val="2"/>
            <w:tcBorders>
              <w:bottom w:val="single" w:sz="8" w:space="0" w:color="000000"/>
            </w:tcBorders>
            <w:shd w:val="clear" w:color="auto" w:fill="8DB3E1"/>
          </w:tcPr>
          <w:p w:rsidR="004B762F" w:rsidRDefault="004B762F">
            <w:pPr>
              <w:pStyle w:val="TableParagraph"/>
              <w:spacing w:before="4"/>
              <w:rPr>
                <w:sz w:val="26"/>
              </w:rPr>
            </w:pPr>
          </w:p>
          <w:p w:rsidR="004B762F" w:rsidRDefault="00D268FC">
            <w:pPr>
              <w:pStyle w:val="TableParagraph"/>
              <w:ind w:left="525"/>
              <w:rPr>
                <w:b/>
                <w:sz w:val="18"/>
              </w:rPr>
            </w:pPr>
            <w:r>
              <w:rPr>
                <w:b/>
                <w:sz w:val="18"/>
              </w:rPr>
              <w:t>Inhaltsbereich</w:t>
            </w:r>
          </w:p>
        </w:tc>
        <w:tc>
          <w:tcPr>
            <w:tcW w:w="2554" w:type="dxa"/>
            <w:gridSpan w:val="3"/>
            <w:tcBorders>
              <w:bottom w:val="double" w:sz="1" w:space="0" w:color="000000"/>
            </w:tcBorders>
            <w:shd w:val="clear" w:color="auto" w:fill="8DB3E1"/>
          </w:tcPr>
          <w:p w:rsidR="004B762F" w:rsidRDefault="004B762F">
            <w:pPr>
              <w:pStyle w:val="TableParagraph"/>
              <w:spacing w:before="4"/>
              <w:rPr>
                <w:sz w:val="26"/>
              </w:rPr>
            </w:pPr>
          </w:p>
          <w:p w:rsidR="004B762F" w:rsidRDefault="00D268FC">
            <w:pPr>
              <w:pStyle w:val="TableParagraph"/>
              <w:ind w:left="677"/>
              <w:rPr>
                <w:b/>
                <w:sz w:val="18"/>
              </w:rPr>
            </w:pPr>
            <w:r>
              <w:rPr>
                <w:b/>
                <w:sz w:val="18"/>
              </w:rPr>
              <w:t>Verschuldung</w:t>
            </w:r>
          </w:p>
        </w:tc>
        <w:tc>
          <w:tcPr>
            <w:tcW w:w="3370" w:type="dxa"/>
            <w:gridSpan w:val="4"/>
            <w:tcBorders>
              <w:bottom w:val="double" w:sz="1" w:space="0" w:color="000000"/>
            </w:tcBorders>
            <w:shd w:val="clear" w:color="auto" w:fill="8DB3E1"/>
          </w:tcPr>
          <w:p w:rsidR="004B762F" w:rsidRDefault="004B762F">
            <w:pPr>
              <w:pStyle w:val="TableParagraph"/>
              <w:rPr>
                <w:sz w:val="20"/>
              </w:rPr>
            </w:pPr>
          </w:p>
          <w:p w:rsidR="004B762F" w:rsidRDefault="00D268FC">
            <w:pPr>
              <w:pStyle w:val="TableParagraph"/>
              <w:spacing w:before="131"/>
              <w:ind w:left="869"/>
              <w:rPr>
                <w:b/>
                <w:sz w:val="18"/>
              </w:rPr>
            </w:pPr>
            <w:r>
              <w:rPr>
                <w:b/>
                <w:sz w:val="18"/>
              </w:rPr>
              <w:t>Vermögensbildung</w:t>
            </w:r>
          </w:p>
        </w:tc>
        <w:tc>
          <w:tcPr>
            <w:tcW w:w="856" w:type="dxa"/>
            <w:tcBorders>
              <w:bottom w:val="double" w:sz="1" w:space="0" w:color="000000"/>
            </w:tcBorders>
            <w:shd w:val="clear" w:color="auto" w:fill="8DB3E1"/>
          </w:tcPr>
          <w:p w:rsidR="004B762F" w:rsidRDefault="00D268FC">
            <w:pPr>
              <w:pStyle w:val="TableParagraph"/>
              <w:ind w:left="183" w:right="163" w:hanging="5"/>
              <w:jc w:val="both"/>
              <w:rPr>
                <w:b/>
                <w:sz w:val="18"/>
              </w:rPr>
            </w:pPr>
            <w:r>
              <w:rPr>
                <w:b/>
                <w:sz w:val="18"/>
              </w:rPr>
              <w:t>Versi- chern und</w:t>
            </w:r>
          </w:p>
          <w:p w:rsidR="004B762F" w:rsidRDefault="00D268FC">
            <w:pPr>
              <w:pStyle w:val="TableParagraph"/>
              <w:spacing w:line="191" w:lineRule="exact"/>
              <w:ind w:left="94"/>
              <w:rPr>
                <w:b/>
                <w:sz w:val="18"/>
              </w:rPr>
            </w:pPr>
            <w:r>
              <w:rPr>
                <w:b/>
                <w:sz w:val="18"/>
              </w:rPr>
              <w:t>Steuern</w:t>
            </w:r>
          </w:p>
        </w:tc>
      </w:tr>
      <w:tr w:rsidR="004B762F">
        <w:trPr>
          <w:trHeight w:val="1242"/>
        </w:trPr>
        <w:tc>
          <w:tcPr>
            <w:tcW w:w="587" w:type="dxa"/>
            <w:tcBorders>
              <w:top w:val="single" w:sz="8" w:space="0" w:color="000000"/>
            </w:tcBorders>
            <w:shd w:val="clear" w:color="auto" w:fill="8DB3E1"/>
            <w:textDirection w:val="btLr"/>
          </w:tcPr>
          <w:p w:rsidR="004B762F" w:rsidRDefault="00D268FC">
            <w:pPr>
              <w:pStyle w:val="TableParagraph"/>
              <w:spacing w:before="73" w:line="244" w:lineRule="auto"/>
              <w:ind w:left="404" w:right="189" w:hanging="212"/>
              <w:rPr>
                <w:b/>
                <w:sz w:val="18"/>
              </w:rPr>
            </w:pPr>
            <w:r>
              <w:rPr>
                <w:b/>
                <w:sz w:val="18"/>
              </w:rPr>
              <w:t>Inhaltsbe- reich</w:t>
            </w:r>
          </w:p>
        </w:tc>
        <w:tc>
          <w:tcPr>
            <w:tcW w:w="1685" w:type="dxa"/>
            <w:tcBorders>
              <w:top w:val="double" w:sz="1" w:space="0" w:color="000000"/>
              <w:bottom w:val="double" w:sz="1" w:space="0" w:color="000000"/>
              <w:right w:val="double" w:sz="2" w:space="0" w:color="000000"/>
            </w:tcBorders>
          </w:tcPr>
          <w:p w:rsidR="004B762F" w:rsidRDefault="004B762F">
            <w:pPr>
              <w:pStyle w:val="TableParagraph"/>
              <w:rPr>
                <w:sz w:val="27"/>
              </w:rPr>
            </w:pPr>
          </w:p>
          <w:p w:rsidR="004B762F" w:rsidRDefault="00D268FC">
            <w:pPr>
              <w:pStyle w:val="TableParagraph"/>
              <w:ind w:left="48" w:right="8"/>
              <w:rPr>
                <w:sz w:val="18"/>
              </w:rPr>
            </w:pPr>
            <w:r>
              <w:rPr>
                <w:sz w:val="18"/>
              </w:rPr>
              <w:t>Simulationsaufga- ben aus dem inhalt- lichen Kontext</w:t>
            </w:r>
          </w:p>
        </w:tc>
        <w:tc>
          <w:tcPr>
            <w:tcW w:w="852" w:type="dxa"/>
            <w:tcBorders>
              <w:top w:val="double" w:sz="1" w:space="0" w:color="000000"/>
              <w:left w:val="double" w:sz="2" w:space="0" w:color="000000"/>
              <w:bottom w:val="double" w:sz="1" w:space="0" w:color="000000"/>
            </w:tcBorders>
          </w:tcPr>
          <w:p w:rsidR="004B762F" w:rsidRDefault="004B762F">
            <w:pPr>
              <w:pStyle w:val="TableParagraph"/>
              <w:rPr>
                <w:sz w:val="18"/>
              </w:rPr>
            </w:pPr>
          </w:p>
          <w:p w:rsidR="004B762F" w:rsidRDefault="00D268FC">
            <w:pPr>
              <w:pStyle w:val="TableParagraph"/>
              <w:ind w:left="58" w:right="136"/>
              <w:rPr>
                <w:sz w:val="18"/>
              </w:rPr>
            </w:pPr>
            <w:r>
              <w:rPr>
                <w:sz w:val="18"/>
              </w:rPr>
              <w:t>Kredit- rechner (ohne Zinsen)</w:t>
            </w:r>
          </w:p>
        </w:tc>
        <w:tc>
          <w:tcPr>
            <w:tcW w:w="847" w:type="dxa"/>
            <w:tcBorders>
              <w:top w:val="double" w:sz="1" w:space="0" w:color="000000"/>
              <w:bottom w:val="double" w:sz="1" w:space="0" w:color="000000"/>
            </w:tcBorders>
          </w:tcPr>
          <w:p w:rsidR="004B762F" w:rsidRDefault="004B762F">
            <w:pPr>
              <w:pStyle w:val="TableParagraph"/>
              <w:rPr>
                <w:sz w:val="27"/>
              </w:rPr>
            </w:pPr>
          </w:p>
          <w:p w:rsidR="004B762F" w:rsidRDefault="00D268FC">
            <w:pPr>
              <w:pStyle w:val="TableParagraph"/>
              <w:ind w:left="61" w:right="34"/>
              <w:rPr>
                <w:sz w:val="18"/>
              </w:rPr>
            </w:pPr>
            <w:r>
              <w:rPr>
                <w:sz w:val="18"/>
              </w:rPr>
              <w:t>Finanzie- rungs- rechner</w:t>
            </w:r>
          </w:p>
        </w:tc>
        <w:tc>
          <w:tcPr>
            <w:tcW w:w="855" w:type="dxa"/>
            <w:tcBorders>
              <w:top w:val="double" w:sz="1" w:space="0" w:color="000000"/>
              <w:bottom w:val="double" w:sz="1" w:space="0" w:color="000000"/>
            </w:tcBorders>
          </w:tcPr>
          <w:p w:rsidR="004B762F" w:rsidRDefault="004B762F">
            <w:pPr>
              <w:pStyle w:val="TableParagraph"/>
              <w:rPr>
                <w:sz w:val="18"/>
              </w:rPr>
            </w:pPr>
          </w:p>
          <w:p w:rsidR="004B762F" w:rsidRDefault="00D268FC">
            <w:pPr>
              <w:pStyle w:val="TableParagraph"/>
              <w:ind w:left="63" w:right="151"/>
              <w:rPr>
                <w:sz w:val="18"/>
              </w:rPr>
            </w:pPr>
            <w:r>
              <w:rPr>
                <w:sz w:val="18"/>
              </w:rPr>
              <w:t>Kredit- rechner (mit Zinsen)</w:t>
            </w:r>
          </w:p>
        </w:tc>
        <w:tc>
          <w:tcPr>
            <w:tcW w:w="850" w:type="dxa"/>
            <w:tcBorders>
              <w:top w:val="double" w:sz="1" w:space="0" w:color="000000"/>
              <w:bottom w:val="double" w:sz="1" w:space="0" w:color="000000"/>
            </w:tcBorders>
          </w:tcPr>
          <w:p w:rsidR="004B762F" w:rsidRDefault="00D268FC">
            <w:pPr>
              <w:pStyle w:val="TableParagraph"/>
              <w:spacing w:before="104"/>
              <w:ind w:left="65" w:right="160"/>
              <w:rPr>
                <w:sz w:val="18"/>
              </w:rPr>
            </w:pPr>
            <w:r>
              <w:rPr>
                <w:sz w:val="18"/>
              </w:rPr>
              <w:t>Spar- raten- rechner (Giro- konto)</w:t>
            </w:r>
          </w:p>
        </w:tc>
        <w:tc>
          <w:tcPr>
            <w:tcW w:w="852" w:type="dxa"/>
            <w:tcBorders>
              <w:top w:val="double" w:sz="1" w:space="0" w:color="000000"/>
              <w:bottom w:val="double" w:sz="1" w:space="0" w:color="000000"/>
            </w:tcBorders>
          </w:tcPr>
          <w:p w:rsidR="004B762F" w:rsidRDefault="00D268FC">
            <w:pPr>
              <w:pStyle w:val="TableParagraph"/>
              <w:ind w:left="63" w:right="154"/>
              <w:rPr>
                <w:sz w:val="18"/>
              </w:rPr>
            </w:pPr>
            <w:r>
              <w:rPr>
                <w:sz w:val="18"/>
              </w:rPr>
              <w:t>Spar- raten- rechner (Tages- geld-</w:t>
            </w:r>
          </w:p>
          <w:p w:rsidR="004B762F" w:rsidRDefault="00D268FC">
            <w:pPr>
              <w:pStyle w:val="TableParagraph"/>
              <w:spacing w:line="187" w:lineRule="exact"/>
              <w:ind w:left="63"/>
              <w:rPr>
                <w:sz w:val="18"/>
              </w:rPr>
            </w:pPr>
            <w:r>
              <w:rPr>
                <w:sz w:val="18"/>
              </w:rPr>
              <w:t>konto)</w:t>
            </w:r>
          </w:p>
        </w:tc>
        <w:tc>
          <w:tcPr>
            <w:tcW w:w="850" w:type="dxa"/>
            <w:tcBorders>
              <w:top w:val="double" w:sz="1" w:space="0" w:color="000000"/>
              <w:bottom w:val="double" w:sz="1" w:space="0" w:color="000000"/>
            </w:tcBorders>
          </w:tcPr>
          <w:p w:rsidR="004B762F" w:rsidRDefault="00D268FC">
            <w:pPr>
              <w:pStyle w:val="TableParagraph"/>
              <w:ind w:left="65" w:right="149"/>
              <w:rPr>
                <w:sz w:val="18"/>
              </w:rPr>
            </w:pPr>
            <w:r>
              <w:rPr>
                <w:sz w:val="18"/>
              </w:rPr>
              <w:t>Spar- raten- rechner (Tages- geld-</w:t>
            </w:r>
          </w:p>
          <w:p w:rsidR="004B762F" w:rsidRDefault="00D268FC">
            <w:pPr>
              <w:pStyle w:val="TableParagraph"/>
              <w:spacing w:line="187" w:lineRule="exact"/>
              <w:ind w:left="65"/>
              <w:rPr>
                <w:sz w:val="18"/>
              </w:rPr>
            </w:pPr>
            <w:r>
              <w:rPr>
                <w:sz w:val="18"/>
              </w:rPr>
              <w:t>konto)</w:t>
            </w:r>
          </w:p>
        </w:tc>
        <w:tc>
          <w:tcPr>
            <w:tcW w:w="818" w:type="dxa"/>
            <w:tcBorders>
              <w:top w:val="double" w:sz="1" w:space="0" w:color="000000"/>
              <w:bottom w:val="double" w:sz="1" w:space="0" w:color="000000"/>
            </w:tcBorders>
          </w:tcPr>
          <w:p w:rsidR="004B762F" w:rsidRDefault="00D268FC">
            <w:pPr>
              <w:pStyle w:val="TableParagraph"/>
              <w:spacing w:before="104"/>
              <w:ind w:left="65" w:right="130"/>
              <w:rPr>
                <w:sz w:val="18"/>
              </w:rPr>
            </w:pPr>
            <w:r>
              <w:rPr>
                <w:sz w:val="18"/>
              </w:rPr>
              <w:t>Spar- raten- rechner (Spar- buch)</w:t>
            </w:r>
          </w:p>
        </w:tc>
        <w:tc>
          <w:tcPr>
            <w:tcW w:w="856" w:type="dxa"/>
            <w:tcBorders>
              <w:top w:val="double" w:sz="1" w:space="0" w:color="000000"/>
              <w:bottom w:val="double" w:sz="1" w:space="0" w:color="000000"/>
            </w:tcBorders>
          </w:tcPr>
          <w:p w:rsidR="004B762F" w:rsidRDefault="004B762F">
            <w:pPr>
              <w:pStyle w:val="TableParagraph"/>
              <w:rPr>
                <w:sz w:val="20"/>
              </w:rPr>
            </w:pPr>
          </w:p>
          <w:p w:rsidR="004B762F" w:rsidRDefault="004B762F">
            <w:pPr>
              <w:pStyle w:val="TableParagraph"/>
              <w:spacing w:before="11"/>
              <w:rPr>
                <w:sz w:val="15"/>
              </w:rPr>
            </w:pPr>
          </w:p>
          <w:p w:rsidR="004B762F" w:rsidRDefault="00D268FC">
            <w:pPr>
              <w:pStyle w:val="TableParagraph"/>
              <w:ind w:left="66" w:right="119"/>
              <w:rPr>
                <w:sz w:val="18"/>
              </w:rPr>
            </w:pPr>
            <w:r>
              <w:rPr>
                <w:sz w:val="18"/>
              </w:rPr>
              <w:t>Renten- rechner</w:t>
            </w:r>
          </w:p>
        </w:tc>
      </w:tr>
      <w:tr w:rsidR="004B762F">
        <w:trPr>
          <w:trHeight w:val="639"/>
        </w:trPr>
        <w:tc>
          <w:tcPr>
            <w:tcW w:w="587" w:type="dxa"/>
            <w:vMerge w:val="restart"/>
            <w:tcBorders>
              <w:right w:val="double" w:sz="1" w:space="0" w:color="000000"/>
            </w:tcBorders>
            <w:shd w:val="clear" w:color="auto" w:fill="8DB3E1"/>
            <w:textDirection w:val="btLr"/>
          </w:tcPr>
          <w:p w:rsidR="004B762F" w:rsidRDefault="004B762F">
            <w:pPr>
              <w:pStyle w:val="TableParagraph"/>
              <w:spacing w:before="8"/>
              <w:rPr>
                <w:sz w:val="19"/>
              </w:rPr>
            </w:pPr>
          </w:p>
          <w:p w:rsidR="004B762F" w:rsidRDefault="00D268FC">
            <w:pPr>
              <w:pStyle w:val="TableParagraph"/>
              <w:ind w:left="398"/>
              <w:rPr>
                <w:b/>
                <w:sz w:val="18"/>
              </w:rPr>
            </w:pPr>
            <w:r>
              <w:rPr>
                <w:b/>
                <w:sz w:val="18"/>
              </w:rPr>
              <w:t>Verschuldung</w:t>
            </w:r>
          </w:p>
        </w:tc>
        <w:tc>
          <w:tcPr>
            <w:tcW w:w="1685" w:type="dxa"/>
            <w:tcBorders>
              <w:top w:val="double" w:sz="1" w:space="0" w:color="000000"/>
              <w:left w:val="double" w:sz="1" w:space="0" w:color="000000"/>
              <w:right w:val="double" w:sz="2" w:space="0" w:color="000000"/>
            </w:tcBorders>
          </w:tcPr>
          <w:p w:rsidR="004B762F" w:rsidRDefault="00D268FC">
            <w:pPr>
              <w:pStyle w:val="TableParagraph"/>
              <w:spacing w:before="22" w:line="322" w:lineRule="exact"/>
              <w:ind w:left="50" w:right="466"/>
              <w:rPr>
                <w:sz w:val="18"/>
              </w:rPr>
            </w:pPr>
            <w:r>
              <w:rPr>
                <w:sz w:val="18"/>
              </w:rPr>
              <w:t>Kreditrechner (ohne Zinsen)</w:t>
            </w:r>
          </w:p>
        </w:tc>
        <w:tc>
          <w:tcPr>
            <w:tcW w:w="852" w:type="dxa"/>
            <w:tcBorders>
              <w:top w:val="double" w:sz="1" w:space="0" w:color="000000"/>
              <w:left w:val="double" w:sz="2" w:space="0" w:color="000000"/>
            </w:tcBorders>
          </w:tcPr>
          <w:p w:rsidR="004B762F" w:rsidRDefault="004B762F">
            <w:pPr>
              <w:pStyle w:val="TableParagraph"/>
              <w:spacing w:before="7"/>
              <w:rPr>
                <w:sz w:val="23"/>
              </w:rPr>
            </w:pPr>
          </w:p>
          <w:p w:rsidR="004B762F" w:rsidRDefault="00D268FC">
            <w:pPr>
              <w:pStyle w:val="TableParagraph"/>
              <w:ind w:left="58"/>
              <w:rPr>
                <w:sz w:val="18"/>
              </w:rPr>
            </w:pPr>
            <w:r>
              <w:rPr>
                <w:w w:val="99"/>
                <w:sz w:val="18"/>
              </w:rPr>
              <w:t>1</w:t>
            </w:r>
          </w:p>
        </w:tc>
        <w:tc>
          <w:tcPr>
            <w:tcW w:w="847" w:type="dxa"/>
            <w:tcBorders>
              <w:top w:val="double" w:sz="1" w:space="0" w:color="000000"/>
            </w:tcBorders>
          </w:tcPr>
          <w:p w:rsidR="004B762F" w:rsidRDefault="004B762F">
            <w:pPr>
              <w:pStyle w:val="TableParagraph"/>
              <w:spacing w:before="7"/>
              <w:rPr>
                <w:sz w:val="23"/>
              </w:rPr>
            </w:pPr>
          </w:p>
          <w:p w:rsidR="004B762F" w:rsidRDefault="00D268FC">
            <w:pPr>
              <w:pStyle w:val="TableParagraph"/>
              <w:ind w:left="63"/>
              <w:rPr>
                <w:sz w:val="18"/>
              </w:rPr>
            </w:pPr>
            <w:r>
              <w:rPr>
                <w:sz w:val="18"/>
              </w:rPr>
              <w:t>,296</w:t>
            </w:r>
            <w:r>
              <w:rPr>
                <w:sz w:val="18"/>
                <w:vertAlign w:val="superscript"/>
              </w:rPr>
              <w:t>**</w:t>
            </w:r>
          </w:p>
        </w:tc>
        <w:tc>
          <w:tcPr>
            <w:tcW w:w="855" w:type="dxa"/>
            <w:tcBorders>
              <w:top w:val="double" w:sz="1" w:space="0" w:color="000000"/>
            </w:tcBorders>
          </w:tcPr>
          <w:p w:rsidR="004B762F" w:rsidRDefault="004B762F">
            <w:pPr>
              <w:pStyle w:val="TableParagraph"/>
              <w:spacing w:before="7"/>
              <w:rPr>
                <w:sz w:val="23"/>
              </w:rPr>
            </w:pPr>
          </w:p>
          <w:p w:rsidR="004B762F" w:rsidRDefault="00D268FC">
            <w:pPr>
              <w:pStyle w:val="TableParagraph"/>
              <w:ind w:left="66"/>
              <w:rPr>
                <w:sz w:val="18"/>
              </w:rPr>
            </w:pPr>
            <w:r>
              <w:rPr>
                <w:sz w:val="18"/>
              </w:rPr>
              <w:t>,117</w:t>
            </w:r>
            <w:r>
              <w:rPr>
                <w:sz w:val="18"/>
                <w:vertAlign w:val="superscript"/>
              </w:rPr>
              <w:t>*</w:t>
            </w:r>
          </w:p>
        </w:tc>
        <w:tc>
          <w:tcPr>
            <w:tcW w:w="850" w:type="dxa"/>
            <w:tcBorders>
              <w:top w:val="double" w:sz="1" w:space="0" w:color="000000"/>
            </w:tcBorders>
          </w:tcPr>
          <w:p w:rsidR="004B762F" w:rsidRDefault="004B762F">
            <w:pPr>
              <w:pStyle w:val="TableParagraph"/>
              <w:spacing w:before="7"/>
              <w:rPr>
                <w:sz w:val="23"/>
              </w:rPr>
            </w:pPr>
          </w:p>
          <w:p w:rsidR="004B762F" w:rsidRDefault="00D268FC">
            <w:pPr>
              <w:pStyle w:val="TableParagraph"/>
              <w:ind w:left="65"/>
              <w:rPr>
                <w:sz w:val="18"/>
              </w:rPr>
            </w:pPr>
            <w:r>
              <w:rPr>
                <w:sz w:val="18"/>
              </w:rPr>
              <w:t>,225</w:t>
            </w:r>
            <w:r>
              <w:rPr>
                <w:sz w:val="18"/>
                <w:vertAlign w:val="superscript"/>
              </w:rPr>
              <w:t>**</w:t>
            </w:r>
          </w:p>
        </w:tc>
        <w:tc>
          <w:tcPr>
            <w:tcW w:w="852" w:type="dxa"/>
            <w:tcBorders>
              <w:top w:val="double" w:sz="1" w:space="0" w:color="000000"/>
            </w:tcBorders>
          </w:tcPr>
          <w:p w:rsidR="004B762F" w:rsidRDefault="004B762F">
            <w:pPr>
              <w:pStyle w:val="TableParagraph"/>
              <w:spacing w:before="7"/>
              <w:rPr>
                <w:sz w:val="23"/>
              </w:rPr>
            </w:pPr>
          </w:p>
          <w:p w:rsidR="004B762F" w:rsidRDefault="00D268FC">
            <w:pPr>
              <w:pStyle w:val="TableParagraph"/>
              <w:ind w:left="63"/>
              <w:rPr>
                <w:sz w:val="18"/>
              </w:rPr>
            </w:pPr>
            <w:r>
              <w:rPr>
                <w:sz w:val="18"/>
              </w:rPr>
              <w:t>,110</w:t>
            </w:r>
            <w:r>
              <w:rPr>
                <w:sz w:val="18"/>
                <w:vertAlign w:val="superscript"/>
              </w:rPr>
              <w:t>*</w:t>
            </w:r>
          </w:p>
        </w:tc>
        <w:tc>
          <w:tcPr>
            <w:tcW w:w="850" w:type="dxa"/>
            <w:tcBorders>
              <w:top w:val="double" w:sz="1" w:space="0" w:color="000000"/>
            </w:tcBorders>
          </w:tcPr>
          <w:p w:rsidR="004B762F" w:rsidRDefault="004B762F">
            <w:pPr>
              <w:pStyle w:val="TableParagraph"/>
              <w:spacing w:before="7"/>
              <w:rPr>
                <w:sz w:val="23"/>
              </w:rPr>
            </w:pPr>
          </w:p>
          <w:p w:rsidR="004B762F" w:rsidRDefault="00D268FC">
            <w:pPr>
              <w:pStyle w:val="TableParagraph"/>
              <w:ind w:left="65"/>
              <w:rPr>
                <w:sz w:val="18"/>
              </w:rPr>
            </w:pPr>
            <w:r>
              <w:rPr>
                <w:sz w:val="18"/>
              </w:rPr>
              <w:t>,141</w:t>
            </w:r>
            <w:r>
              <w:rPr>
                <w:sz w:val="18"/>
                <w:vertAlign w:val="superscript"/>
              </w:rPr>
              <w:t>**</w:t>
            </w:r>
          </w:p>
        </w:tc>
        <w:tc>
          <w:tcPr>
            <w:tcW w:w="818" w:type="dxa"/>
            <w:tcBorders>
              <w:top w:val="double" w:sz="1" w:space="0" w:color="000000"/>
            </w:tcBorders>
          </w:tcPr>
          <w:p w:rsidR="004B762F" w:rsidRDefault="004B762F">
            <w:pPr>
              <w:pStyle w:val="TableParagraph"/>
              <w:spacing w:before="7"/>
              <w:rPr>
                <w:sz w:val="23"/>
              </w:rPr>
            </w:pPr>
          </w:p>
          <w:p w:rsidR="004B762F" w:rsidRDefault="00D268FC">
            <w:pPr>
              <w:pStyle w:val="TableParagraph"/>
              <w:ind w:left="65"/>
              <w:rPr>
                <w:sz w:val="18"/>
              </w:rPr>
            </w:pPr>
            <w:r>
              <w:rPr>
                <w:sz w:val="18"/>
              </w:rPr>
              <w:t>,091</w:t>
            </w:r>
          </w:p>
        </w:tc>
        <w:tc>
          <w:tcPr>
            <w:tcW w:w="856" w:type="dxa"/>
            <w:tcBorders>
              <w:top w:val="double" w:sz="1" w:space="0" w:color="000000"/>
            </w:tcBorders>
          </w:tcPr>
          <w:p w:rsidR="004B762F" w:rsidRDefault="004B762F">
            <w:pPr>
              <w:pStyle w:val="TableParagraph"/>
              <w:spacing w:before="7"/>
              <w:rPr>
                <w:sz w:val="23"/>
              </w:rPr>
            </w:pPr>
          </w:p>
          <w:p w:rsidR="004B762F" w:rsidRDefault="00D268FC">
            <w:pPr>
              <w:pStyle w:val="TableParagraph"/>
              <w:ind w:left="66"/>
              <w:rPr>
                <w:sz w:val="18"/>
              </w:rPr>
            </w:pPr>
            <w:r>
              <w:rPr>
                <w:sz w:val="18"/>
              </w:rPr>
              <w:t>,123</w:t>
            </w:r>
            <w:r>
              <w:rPr>
                <w:sz w:val="18"/>
                <w:vertAlign w:val="superscript"/>
              </w:rPr>
              <w:t>*</w:t>
            </w:r>
          </w:p>
        </w:tc>
      </w:tr>
      <w:tr w:rsidR="004B762F">
        <w:trPr>
          <w:trHeight w:val="672"/>
        </w:trPr>
        <w:tc>
          <w:tcPr>
            <w:tcW w:w="587" w:type="dxa"/>
            <w:vMerge/>
            <w:tcBorders>
              <w:top w:val="nil"/>
              <w:right w:val="double" w:sz="1" w:space="0" w:color="000000"/>
            </w:tcBorders>
            <w:shd w:val="clear" w:color="auto" w:fill="8DB3E1"/>
            <w:textDirection w:val="btLr"/>
          </w:tcPr>
          <w:p w:rsidR="004B762F" w:rsidRDefault="004B762F">
            <w:pPr>
              <w:rPr>
                <w:sz w:val="2"/>
                <w:szCs w:val="2"/>
              </w:rPr>
            </w:pPr>
          </w:p>
        </w:tc>
        <w:tc>
          <w:tcPr>
            <w:tcW w:w="1685" w:type="dxa"/>
            <w:tcBorders>
              <w:left w:val="double" w:sz="1" w:space="0" w:color="000000"/>
              <w:right w:val="double" w:sz="2" w:space="0" w:color="000000"/>
            </w:tcBorders>
          </w:tcPr>
          <w:p w:rsidR="004B762F" w:rsidRDefault="00D268FC">
            <w:pPr>
              <w:pStyle w:val="TableParagraph"/>
              <w:spacing w:before="25" w:line="322" w:lineRule="exact"/>
              <w:ind w:left="50" w:right="386"/>
              <w:rPr>
                <w:sz w:val="18"/>
              </w:rPr>
            </w:pPr>
            <w:r>
              <w:rPr>
                <w:sz w:val="18"/>
              </w:rPr>
              <w:t>Finanzierungs- rechner</w:t>
            </w:r>
          </w:p>
        </w:tc>
        <w:tc>
          <w:tcPr>
            <w:tcW w:w="852" w:type="dxa"/>
            <w:tcBorders>
              <w:left w:val="double" w:sz="2" w:space="0" w:color="000000"/>
            </w:tcBorders>
          </w:tcPr>
          <w:p w:rsidR="004B762F" w:rsidRDefault="004B762F">
            <w:pPr>
              <w:pStyle w:val="TableParagraph"/>
              <w:spacing w:before="10"/>
              <w:rPr>
                <w:sz w:val="23"/>
              </w:rPr>
            </w:pPr>
          </w:p>
          <w:p w:rsidR="004B762F" w:rsidRDefault="00D268FC">
            <w:pPr>
              <w:pStyle w:val="TableParagraph"/>
              <w:spacing w:before="1"/>
              <w:ind w:left="58"/>
              <w:rPr>
                <w:sz w:val="18"/>
              </w:rPr>
            </w:pPr>
            <w:r>
              <w:rPr>
                <w:sz w:val="18"/>
              </w:rPr>
              <w:t>,296</w:t>
            </w:r>
            <w:r>
              <w:rPr>
                <w:sz w:val="18"/>
                <w:vertAlign w:val="superscript"/>
              </w:rPr>
              <w:t>**</w:t>
            </w:r>
          </w:p>
        </w:tc>
        <w:tc>
          <w:tcPr>
            <w:tcW w:w="847" w:type="dxa"/>
          </w:tcPr>
          <w:p w:rsidR="004B762F" w:rsidRDefault="004B762F">
            <w:pPr>
              <w:pStyle w:val="TableParagraph"/>
              <w:spacing w:before="10"/>
              <w:rPr>
                <w:sz w:val="23"/>
              </w:rPr>
            </w:pPr>
          </w:p>
          <w:p w:rsidR="004B762F" w:rsidRDefault="00D268FC">
            <w:pPr>
              <w:pStyle w:val="TableParagraph"/>
              <w:spacing w:before="1"/>
              <w:ind w:left="63"/>
              <w:rPr>
                <w:sz w:val="18"/>
              </w:rPr>
            </w:pPr>
            <w:r>
              <w:rPr>
                <w:w w:val="99"/>
                <w:sz w:val="18"/>
              </w:rPr>
              <w:t>1</w:t>
            </w:r>
          </w:p>
        </w:tc>
        <w:tc>
          <w:tcPr>
            <w:tcW w:w="855" w:type="dxa"/>
          </w:tcPr>
          <w:p w:rsidR="004B762F" w:rsidRDefault="004B762F">
            <w:pPr>
              <w:pStyle w:val="TableParagraph"/>
              <w:spacing w:before="10"/>
              <w:rPr>
                <w:sz w:val="23"/>
              </w:rPr>
            </w:pPr>
          </w:p>
          <w:p w:rsidR="004B762F" w:rsidRDefault="00D268FC">
            <w:pPr>
              <w:pStyle w:val="TableParagraph"/>
              <w:spacing w:before="1"/>
              <w:ind w:left="66"/>
              <w:rPr>
                <w:sz w:val="18"/>
              </w:rPr>
            </w:pPr>
            <w:r>
              <w:rPr>
                <w:sz w:val="18"/>
              </w:rPr>
              <w:t>,202</w:t>
            </w:r>
            <w:r>
              <w:rPr>
                <w:sz w:val="18"/>
                <w:vertAlign w:val="superscript"/>
              </w:rPr>
              <w:t>**</w:t>
            </w:r>
          </w:p>
        </w:tc>
        <w:tc>
          <w:tcPr>
            <w:tcW w:w="850" w:type="dxa"/>
          </w:tcPr>
          <w:p w:rsidR="004B762F" w:rsidRDefault="004B762F">
            <w:pPr>
              <w:pStyle w:val="TableParagraph"/>
              <w:spacing w:before="10"/>
              <w:rPr>
                <w:sz w:val="23"/>
              </w:rPr>
            </w:pPr>
          </w:p>
          <w:p w:rsidR="004B762F" w:rsidRDefault="00D268FC">
            <w:pPr>
              <w:pStyle w:val="TableParagraph"/>
              <w:spacing w:before="1"/>
              <w:ind w:left="65"/>
              <w:rPr>
                <w:sz w:val="18"/>
              </w:rPr>
            </w:pPr>
            <w:r>
              <w:rPr>
                <w:sz w:val="18"/>
              </w:rPr>
              <w:t>,359</w:t>
            </w:r>
            <w:r>
              <w:rPr>
                <w:sz w:val="18"/>
                <w:vertAlign w:val="superscript"/>
              </w:rPr>
              <w:t>**</w:t>
            </w:r>
          </w:p>
        </w:tc>
        <w:tc>
          <w:tcPr>
            <w:tcW w:w="852" w:type="dxa"/>
          </w:tcPr>
          <w:p w:rsidR="004B762F" w:rsidRDefault="004B762F">
            <w:pPr>
              <w:pStyle w:val="TableParagraph"/>
              <w:spacing w:before="10"/>
              <w:rPr>
                <w:sz w:val="23"/>
              </w:rPr>
            </w:pPr>
          </w:p>
          <w:p w:rsidR="004B762F" w:rsidRDefault="00D268FC">
            <w:pPr>
              <w:pStyle w:val="TableParagraph"/>
              <w:spacing w:before="1"/>
              <w:ind w:left="63"/>
              <w:rPr>
                <w:sz w:val="18"/>
              </w:rPr>
            </w:pPr>
            <w:r>
              <w:rPr>
                <w:sz w:val="18"/>
              </w:rPr>
              <w:t>,244</w:t>
            </w:r>
            <w:r>
              <w:rPr>
                <w:sz w:val="18"/>
                <w:vertAlign w:val="superscript"/>
              </w:rPr>
              <w:t>**</w:t>
            </w:r>
          </w:p>
        </w:tc>
        <w:tc>
          <w:tcPr>
            <w:tcW w:w="850" w:type="dxa"/>
          </w:tcPr>
          <w:p w:rsidR="004B762F" w:rsidRDefault="004B762F">
            <w:pPr>
              <w:pStyle w:val="TableParagraph"/>
              <w:spacing w:before="10"/>
              <w:rPr>
                <w:sz w:val="23"/>
              </w:rPr>
            </w:pPr>
          </w:p>
          <w:p w:rsidR="004B762F" w:rsidRDefault="00D268FC">
            <w:pPr>
              <w:pStyle w:val="TableParagraph"/>
              <w:spacing w:before="1"/>
              <w:ind w:left="65"/>
              <w:rPr>
                <w:sz w:val="18"/>
              </w:rPr>
            </w:pPr>
            <w:r>
              <w:rPr>
                <w:sz w:val="18"/>
              </w:rPr>
              <w:t>,323</w:t>
            </w:r>
            <w:r>
              <w:rPr>
                <w:sz w:val="18"/>
                <w:vertAlign w:val="superscript"/>
              </w:rPr>
              <w:t>**</w:t>
            </w:r>
          </w:p>
        </w:tc>
        <w:tc>
          <w:tcPr>
            <w:tcW w:w="818" w:type="dxa"/>
          </w:tcPr>
          <w:p w:rsidR="004B762F" w:rsidRDefault="004B762F">
            <w:pPr>
              <w:pStyle w:val="TableParagraph"/>
              <w:spacing w:before="10"/>
              <w:rPr>
                <w:sz w:val="23"/>
              </w:rPr>
            </w:pPr>
          </w:p>
          <w:p w:rsidR="004B762F" w:rsidRDefault="00D268FC">
            <w:pPr>
              <w:pStyle w:val="TableParagraph"/>
              <w:spacing w:before="1"/>
              <w:ind w:left="65"/>
              <w:rPr>
                <w:sz w:val="18"/>
              </w:rPr>
            </w:pPr>
            <w:r>
              <w:rPr>
                <w:sz w:val="18"/>
              </w:rPr>
              <w:t>,135</w:t>
            </w:r>
            <w:r>
              <w:rPr>
                <w:sz w:val="18"/>
                <w:vertAlign w:val="superscript"/>
              </w:rPr>
              <w:t>**</w:t>
            </w:r>
          </w:p>
        </w:tc>
        <w:tc>
          <w:tcPr>
            <w:tcW w:w="856" w:type="dxa"/>
          </w:tcPr>
          <w:p w:rsidR="004B762F" w:rsidRDefault="004B762F">
            <w:pPr>
              <w:pStyle w:val="TableParagraph"/>
              <w:spacing w:before="10"/>
              <w:rPr>
                <w:sz w:val="23"/>
              </w:rPr>
            </w:pPr>
          </w:p>
          <w:p w:rsidR="004B762F" w:rsidRDefault="00D268FC">
            <w:pPr>
              <w:pStyle w:val="TableParagraph"/>
              <w:spacing w:before="1"/>
              <w:ind w:left="66"/>
              <w:rPr>
                <w:sz w:val="18"/>
              </w:rPr>
            </w:pPr>
            <w:r>
              <w:rPr>
                <w:sz w:val="18"/>
              </w:rPr>
              <w:t>,232</w:t>
            </w:r>
            <w:r>
              <w:rPr>
                <w:sz w:val="18"/>
                <w:vertAlign w:val="superscript"/>
              </w:rPr>
              <w:t>**</w:t>
            </w:r>
          </w:p>
        </w:tc>
      </w:tr>
      <w:tr w:rsidR="004B762F">
        <w:trPr>
          <w:trHeight w:val="640"/>
        </w:trPr>
        <w:tc>
          <w:tcPr>
            <w:tcW w:w="587" w:type="dxa"/>
            <w:vMerge/>
            <w:tcBorders>
              <w:top w:val="nil"/>
              <w:right w:val="double" w:sz="1" w:space="0" w:color="000000"/>
            </w:tcBorders>
            <w:shd w:val="clear" w:color="auto" w:fill="8DB3E1"/>
            <w:textDirection w:val="btLr"/>
          </w:tcPr>
          <w:p w:rsidR="004B762F" w:rsidRDefault="004B762F">
            <w:pPr>
              <w:rPr>
                <w:sz w:val="2"/>
                <w:szCs w:val="2"/>
              </w:rPr>
            </w:pPr>
          </w:p>
        </w:tc>
        <w:tc>
          <w:tcPr>
            <w:tcW w:w="1685" w:type="dxa"/>
            <w:tcBorders>
              <w:left w:val="double" w:sz="1" w:space="0" w:color="000000"/>
              <w:right w:val="double" w:sz="2" w:space="0" w:color="000000"/>
            </w:tcBorders>
          </w:tcPr>
          <w:p w:rsidR="004B762F" w:rsidRDefault="00D268FC">
            <w:pPr>
              <w:pStyle w:val="TableParagraph"/>
              <w:spacing w:before="23" w:line="322" w:lineRule="exact"/>
              <w:ind w:left="50" w:right="496"/>
              <w:rPr>
                <w:sz w:val="18"/>
              </w:rPr>
            </w:pPr>
            <w:r>
              <w:rPr>
                <w:sz w:val="18"/>
              </w:rPr>
              <w:t>Kreditrechner (mit Zinsen)</w:t>
            </w:r>
          </w:p>
        </w:tc>
        <w:tc>
          <w:tcPr>
            <w:tcW w:w="852" w:type="dxa"/>
            <w:tcBorders>
              <w:left w:val="double" w:sz="2" w:space="0" w:color="000000"/>
            </w:tcBorders>
          </w:tcPr>
          <w:p w:rsidR="004B762F" w:rsidRDefault="004B762F">
            <w:pPr>
              <w:pStyle w:val="TableParagraph"/>
              <w:spacing w:before="8"/>
              <w:rPr>
                <w:sz w:val="23"/>
              </w:rPr>
            </w:pPr>
          </w:p>
          <w:p w:rsidR="004B762F" w:rsidRDefault="00D268FC">
            <w:pPr>
              <w:pStyle w:val="TableParagraph"/>
              <w:ind w:left="58"/>
              <w:rPr>
                <w:sz w:val="18"/>
              </w:rPr>
            </w:pPr>
            <w:r>
              <w:rPr>
                <w:sz w:val="18"/>
              </w:rPr>
              <w:t>,117</w:t>
            </w:r>
            <w:r>
              <w:rPr>
                <w:sz w:val="18"/>
                <w:vertAlign w:val="superscript"/>
              </w:rPr>
              <w:t>*</w:t>
            </w:r>
          </w:p>
        </w:tc>
        <w:tc>
          <w:tcPr>
            <w:tcW w:w="847" w:type="dxa"/>
          </w:tcPr>
          <w:p w:rsidR="004B762F" w:rsidRDefault="004B762F">
            <w:pPr>
              <w:pStyle w:val="TableParagraph"/>
              <w:spacing w:before="8"/>
              <w:rPr>
                <w:sz w:val="23"/>
              </w:rPr>
            </w:pPr>
          </w:p>
          <w:p w:rsidR="004B762F" w:rsidRDefault="00D268FC">
            <w:pPr>
              <w:pStyle w:val="TableParagraph"/>
              <w:ind w:left="145"/>
              <w:rPr>
                <w:sz w:val="18"/>
              </w:rPr>
            </w:pPr>
            <w:r>
              <w:rPr>
                <w:sz w:val="18"/>
              </w:rPr>
              <w:t>,202</w:t>
            </w:r>
            <w:r>
              <w:rPr>
                <w:sz w:val="18"/>
                <w:vertAlign w:val="superscript"/>
              </w:rPr>
              <w:t>**</w:t>
            </w:r>
          </w:p>
        </w:tc>
        <w:tc>
          <w:tcPr>
            <w:tcW w:w="855" w:type="dxa"/>
          </w:tcPr>
          <w:p w:rsidR="004B762F" w:rsidRDefault="004B762F">
            <w:pPr>
              <w:pStyle w:val="TableParagraph"/>
              <w:spacing w:before="8"/>
              <w:rPr>
                <w:sz w:val="23"/>
              </w:rPr>
            </w:pPr>
          </w:p>
          <w:p w:rsidR="004B762F" w:rsidRDefault="00D268FC">
            <w:pPr>
              <w:pStyle w:val="TableParagraph"/>
              <w:ind w:left="66"/>
              <w:rPr>
                <w:sz w:val="18"/>
              </w:rPr>
            </w:pPr>
            <w:r>
              <w:rPr>
                <w:w w:val="99"/>
                <w:sz w:val="18"/>
              </w:rPr>
              <w:t>1</w:t>
            </w:r>
          </w:p>
        </w:tc>
        <w:tc>
          <w:tcPr>
            <w:tcW w:w="850" w:type="dxa"/>
          </w:tcPr>
          <w:p w:rsidR="004B762F" w:rsidRDefault="004B762F">
            <w:pPr>
              <w:pStyle w:val="TableParagraph"/>
              <w:spacing w:before="8"/>
              <w:rPr>
                <w:sz w:val="23"/>
              </w:rPr>
            </w:pPr>
          </w:p>
          <w:p w:rsidR="004B762F" w:rsidRDefault="00D268FC">
            <w:pPr>
              <w:pStyle w:val="TableParagraph"/>
              <w:ind w:left="65"/>
              <w:rPr>
                <w:sz w:val="18"/>
              </w:rPr>
            </w:pPr>
            <w:r>
              <w:rPr>
                <w:sz w:val="18"/>
              </w:rPr>
              <w:t>,244</w:t>
            </w:r>
            <w:r>
              <w:rPr>
                <w:sz w:val="18"/>
                <w:vertAlign w:val="superscript"/>
              </w:rPr>
              <w:t>**</w:t>
            </w:r>
          </w:p>
        </w:tc>
        <w:tc>
          <w:tcPr>
            <w:tcW w:w="852" w:type="dxa"/>
          </w:tcPr>
          <w:p w:rsidR="004B762F" w:rsidRDefault="004B762F">
            <w:pPr>
              <w:pStyle w:val="TableParagraph"/>
              <w:spacing w:before="8"/>
              <w:rPr>
                <w:sz w:val="23"/>
              </w:rPr>
            </w:pPr>
          </w:p>
          <w:p w:rsidR="004B762F" w:rsidRDefault="00D268FC">
            <w:pPr>
              <w:pStyle w:val="TableParagraph"/>
              <w:ind w:left="63"/>
              <w:rPr>
                <w:sz w:val="18"/>
              </w:rPr>
            </w:pPr>
            <w:r>
              <w:rPr>
                <w:sz w:val="18"/>
              </w:rPr>
              <w:t>,160</w:t>
            </w:r>
            <w:r>
              <w:rPr>
                <w:sz w:val="18"/>
                <w:vertAlign w:val="superscript"/>
              </w:rPr>
              <w:t>**</w:t>
            </w:r>
          </w:p>
        </w:tc>
        <w:tc>
          <w:tcPr>
            <w:tcW w:w="850" w:type="dxa"/>
          </w:tcPr>
          <w:p w:rsidR="004B762F" w:rsidRDefault="004B762F">
            <w:pPr>
              <w:pStyle w:val="TableParagraph"/>
              <w:spacing w:before="8"/>
              <w:rPr>
                <w:sz w:val="23"/>
              </w:rPr>
            </w:pPr>
          </w:p>
          <w:p w:rsidR="004B762F" w:rsidRDefault="00D268FC">
            <w:pPr>
              <w:pStyle w:val="TableParagraph"/>
              <w:ind w:left="65"/>
              <w:rPr>
                <w:sz w:val="18"/>
              </w:rPr>
            </w:pPr>
            <w:r>
              <w:rPr>
                <w:sz w:val="18"/>
              </w:rPr>
              <w:t>,202</w:t>
            </w:r>
            <w:r>
              <w:rPr>
                <w:sz w:val="18"/>
                <w:vertAlign w:val="superscript"/>
              </w:rPr>
              <w:t>**</w:t>
            </w:r>
          </w:p>
        </w:tc>
        <w:tc>
          <w:tcPr>
            <w:tcW w:w="818" w:type="dxa"/>
          </w:tcPr>
          <w:p w:rsidR="004B762F" w:rsidRDefault="004B762F">
            <w:pPr>
              <w:pStyle w:val="TableParagraph"/>
              <w:spacing w:before="8"/>
              <w:rPr>
                <w:sz w:val="23"/>
              </w:rPr>
            </w:pPr>
          </w:p>
          <w:p w:rsidR="004B762F" w:rsidRDefault="00D268FC">
            <w:pPr>
              <w:pStyle w:val="TableParagraph"/>
              <w:ind w:left="65"/>
              <w:rPr>
                <w:sz w:val="18"/>
              </w:rPr>
            </w:pPr>
            <w:r>
              <w:rPr>
                <w:sz w:val="18"/>
              </w:rPr>
              <w:t>,119</w:t>
            </w:r>
            <w:r>
              <w:rPr>
                <w:sz w:val="18"/>
                <w:vertAlign w:val="superscript"/>
              </w:rPr>
              <w:t>*</w:t>
            </w:r>
          </w:p>
        </w:tc>
        <w:tc>
          <w:tcPr>
            <w:tcW w:w="856" w:type="dxa"/>
          </w:tcPr>
          <w:p w:rsidR="004B762F" w:rsidRDefault="004B762F">
            <w:pPr>
              <w:pStyle w:val="TableParagraph"/>
              <w:spacing w:before="8"/>
              <w:rPr>
                <w:sz w:val="23"/>
              </w:rPr>
            </w:pPr>
          </w:p>
          <w:p w:rsidR="004B762F" w:rsidRDefault="00D268FC">
            <w:pPr>
              <w:pStyle w:val="TableParagraph"/>
              <w:ind w:left="66"/>
              <w:rPr>
                <w:sz w:val="18"/>
              </w:rPr>
            </w:pPr>
            <w:r>
              <w:rPr>
                <w:sz w:val="18"/>
              </w:rPr>
              <w:t>,199</w:t>
            </w:r>
            <w:r>
              <w:rPr>
                <w:sz w:val="18"/>
                <w:vertAlign w:val="superscript"/>
              </w:rPr>
              <w:t>**</w:t>
            </w:r>
          </w:p>
        </w:tc>
      </w:tr>
      <w:tr w:rsidR="004B762F">
        <w:trPr>
          <w:trHeight w:val="613"/>
        </w:trPr>
        <w:tc>
          <w:tcPr>
            <w:tcW w:w="587" w:type="dxa"/>
            <w:vMerge w:val="restart"/>
            <w:tcBorders>
              <w:right w:val="double" w:sz="1" w:space="0" w:color="000000"/>
            </w:tcBorders>
            <w:shd w:val="clear" w:color="auto" w:fill="8DB3E1"/>
            <w:textDirection w:val="btLr"/>
          </w:tcPr>
          <w:p w:rsidR="004B762F" w:rsidRDefault="004B762F">
            <w:pPr>
              <w:pStyle w:val="TableParagraph"/>
              <w:spacing w:before="8"/>
              <w:rPr>
                <w:sz w:val="19"/>
              </w:rPr>
            </w:pPr>
          </w:p>
          <w:p w:rsidR="004B762F" w:rsidRDefault="00D268FC">
            <w:pPr>
              <w:pStyle w:val="TableParagraph"/>
              <w:ind w:left="689"/>
              <w:rPr>
                <w:b/>
                <w:sz w:val="18"/>
              </w:rPr>
            </w:pPr>
            <w:r>
              <w:rPr>
                <w:b/>
                <w:sz w:val="18"/>
              </w:rPr>
              <w:t>Vermögensbildung</w:t>
            </w:r>
          </w:p>
        </w:tc>
        <w:tc>
          <w:tcPr>
            <w:tcW w:w="1685" w:type="dxa"/>
            <w:tcBorders>
              <w:left w:val="double" w:sz="1" w:space="0" w:color="000000"/>
              <w:right w:val="double" w:sz="2" w:space="0" w:color="000000"/>
            </w:tcBorders>
          </w:tcPr>
          <w:p w:rsidR="004B762F" w:rsidRDefault="00D268FC">
            <w:pPr>
              <w:pStyle w:val="TableParagraph"/>
              <w:spacing w:before="85"/>
              <w:ind w:left="50"/>
              <w:rPr>
                <w:sz w:val="18"/>
              </w:rPr>
            </w:pPr>
            <w:r>
              <w:rPr>
                <w:sz w:val="18"/>
              </w:rPr>
              <w:t>Sparratenrechner</w:t>
            </w:r>
          </w:p>
          <w:p w:rsidR="004B762F" w:rsidRDefault="00D268FC">
            <w:pPr>
              <w:pStyle w:val="TableParagraph"/>
              <w:spacing w:before="112" w:line="189" w:lineRule="exact"/>
              <w:ind w:left="50"/>
              <w:rPr>
                <w:sz w:val="18"/>
              </w:rPr>
            </w:pPr>
            <w:r>
              <w:rPr>
                <w:sz w:val="18"/>
              </w:rPr>
              <w:t>(Girokonto)</w:t>
            </w:r>
          </w:p>
        </w:tc>
        <w:tc>
          <w:tcPr>
            <w:tcW w:w="852" w:type="dxa"/>
            <w:tcBorders>
              <w:left w:val="double" w:sz="2" w:space="0" w:color="000000"/>
            </w:tcBorders>
          </w:tcPr>
          <w:p w:rsidR="004B762F" w:rsidRDefault="004B762F">
            <w:pPr>
              <w:pStyle w:val="TableParagraph"/>
              <w:spacing w:before="4"/>
              <w:rPr>
                <w:sz w:val="21"/>
              </w:rPr>
            </w:pPr>
          </w:p>
          <w:p w:rsidR="004B762F" w:rsidRDefault="00D268FC">
            <w:pPr>
              <w:pStyle w:val="TableParagraph"/>
              <w:ind w:left="58"/>
              <w:rPr>
                <w:sz w:val="18"/>
              </w:rPr>
            </w:pPr>
            <w:r>
              <w:rPr>
                <w:sz w:val="18"/>
              </w:rPr>
              <w:t>,225</w:t>
            </w:r>
            <w:r>
              <w:rPr>
                <w:sz w:val="18"/>
                <w:vertAlign w:val="superscript"/>
              </w:rPr>
              <w:t>**</w:t>
            </w:r>
          </w:p>
        </w:tc>
        <w:tc>
          <w:tcPr>
            <w:tcW w:w="847" w:type="dxa"/>
          </w:tcPr>
          <w:p w:rsidR="004B762F" w:rsidRDefault="004B762F">
            <w:pPr>
              <w:pStyle w:val="TableParagraph"/>
              <w:spacing w:before="4"/>
              <w:rPr>
                <w:sz w:val="21"/>
              </w:rPr>
            </w:pPr>
          </w:p>
          <w:p w:rsidR="004B762F" w:rsidRDefault="00D268FC">
            <w:pPr>
              <w:pStyle w:val="TableParagraph"/>
              <w:ind w:left="63"/>
              <w:rPr>
                <w:sz w:val="18"/>
              </w:rPr>
            </w:pPr>
            <w:r>
              <w:rPr>
                <w:sz w:val="18"/>
              </w:rPr>
              <w:t>,359</w:t>
            </w:r>
            <w:r>
              <w:rPr>
                <w:sz w:val="18"/>
                <w:vertAlign w:val="superscript"/>
              </w:rPr>
              <w:t>**</w:t>
            </w:r>
          </w:p>
        </w:tc>
        <w:tc>
          <w:tcPr>
            <w:tcW w:w="855" w:type="dxa"/>
          </w:tcPr>
          <w:p w:rsidR="004B762F" w:rsidRDefault="004B762F">
            <w:pPr>
              <w:pStyle w:val="TableParagraph"/>
              <w:spacing w:before="4"/>
              <w:rPr>
                <w:sz w:val="21"/>
              </w:rPr>
            </w:pPr>
          </w:p>
          <w:p w:rsidR="004B762F" w:rsidRDefault="00D268FC">
            <w:pPr>
              <w:pStyle w:val="TableParagraph"/>
              <w:ind w:left="66"/>
              <w:rPr>
                <w:sz w:val="18"/>
              </w:rPr>
            </w:pPr>
            <w:r>
              <w:rPr>
                <w:sz w:val="18"/>
              </w:rPr>
              <w:t>,244</w:t>
            </w:r>
            <w:r>
              <w:rPr>
                <w:sz w:val="18"/>
                <w:vertAlign w:val="superscript"/>
              </w:rPr>
              <w:t>**</w:t>
            </w:r>
          </w:p>
        </w:tc>
        <w:tc>
          <w:tcPr>
            <w:tcW w:w="850" w:type="dxa"/>
          </w:tcPr>
          <w:p w:rsidR="004B762F" w:rsidRDefault="004B762F">
            <w:pPr>
              <w:pStyle w:val="TableParagraph"/>
              <w:spacing w:before="4"/>
              <w:rPr>
                <w:sz w:val="21"/>
              </w:rPr>
            </w:pPr>
          </w:p>
          <w:p w:rsidR="004B762F" w:rsidRDefault="00D268FC">
            <w:pPr>
              <w:pStyle w:val="TableParagraph"/>
              <w:ind w:left="65"/>
              <w:rPr>
                <w:sz w:val="18"/>
              </w:rPr>
            </w:pPr>
            <w:r>
              <w:rPr>
                <w:w w:val="99"/>
                <w:sz w:val="18"/>
              </w:rPr>
              <w:t>1</w:t>
            </w:r>
          </w:p>
        </w:tc>
        <w:tc>
          <w:tcPr>
            <w:tcW w:w="852" w:type="dxa"/>
          </w:tcPr>
          <w:p w:rsidR="004B762F" w:rsidRDefault="004B762F">
            <w:pPr>
              <w:pStyle w:val="TableParagraph"/>
              <w:spacing w:before="4"/>
              <w:rPr>
                <w:sz w:val="21"/>
              </w:rPr>
            </w:pPr>
          </w:p>
          <w:p w:rsidR="004B762F" w:rsidRDefault="00D268FC">
            <w:pPr>
              <w:pStyle w:val="TableParagraph"/>
              <w:ind w:left="63"/>
              <w:rPr>
                <w:sz w:val="18"/>
              </w:rPr>
            </w:pPr>
            <w:r>
              <w:rPr>
                <w:sz w:val="18"/>
              </w:rPr>
              <w:t>,312</w:t>
            </w:r>
            <w:r>
              <w:rPr>
                <w:sz w:val="18"/>
                <w:vertAlign w:val="superscript"/>
              </w:rPr>
              <w:t>**</w:t>
            </w:r>
          </w:p>
        </w:tc>
        <w:tc>
          <w:tcPr>
            <w:tcW w:w="850" w:type="dxa"/>
          </w:tcPr>
          <w:p w:rsidR="004B762F" w:rsidRDefault="004B762F">
            <w:pPr>
              <w:pStyle w:val="TableParagraph"/>
              <w:spacing w:before="4"/>
              <w:rPr>
                <w:sz w:val="21"/>
              </w:rPr>
            </w:pPr>
          </w:p>
          <w:p w:rsidR="004B762F" w:rsidRDefault="00D268FC">
            <w:pPr>
              <w:pStyle w:val="TableParagraph"/>
              <w:ind w:left="65"/>
              <w:rPr>
                <w:sz w:val="18"/>
              </w:rPr>
            </w:pPr>
            <w:r>
              <w:rPr>
                <w:sz w:val="18"/>
              </w:rPr>
              <w:t>,317</w:t>
            </w:r>
            <w:r>
              <w:rPr>
                <w:sz w:val="18"/>
                <w:vertAlign w:val="superscript"/>
              </w:rPr>
              <w:t>**</w:t>
            </w:r>
          </w:p>
        </w:tc>
        <w:tc>
          <w:tcPr>
            <w:tcW w:w="818" w:type="dxa"/>
          </w:tcPr>
          <w:p w:rsidR="004B762F" w:rsidRDefault="004B762F">
            <w:pPr>
              <w:pStyle w:val="TableParagraph"/>
              <w:spacing w:before="4"/>
              <w:rPr>
                <w:sz w:val="21"/>
              </w:rPr>
            </w:pPr>
          </w:p>
          <w:p w:rsidR="004B762F" w:rsidRDefault="00D268FC">
            <w:pPr>
              <w:pStyle w:val="TableParagraph"/>
              <w:ind w:left="65"/>
              <w:rPr>
                <w:sz w:val="18"/>
              </w:rPr>
            </w:pPr>
            <w:r>
              <w:rPr>
                <w:sz w:val="18"/>
              </w:rPr>
              <w:t>,236</w:t>
            </w:r>
            <w:r>
              <w:rPr>
                <w:sz w:val="18"/>
                <w:vertAlign w:val="superscript"/>
              </w:rPr>
              <w:t>**</w:t>
            </w:r>
          </w:p>
        </w:tc>
        <w:tc>
          <w:tcPr>
            <w:tcW w:w="856" w:type="dxa"/>
          </w:tcPr>
          <w:p w:rsidR="004B762F" w:rsidRDefault="004B762F">
            <w:pPr>
              <w:pStyle w:val="TableParagraph"/>
              <w:spacing w:before="4"/>
              <w:rPr>
                <w:sz w:val="21"/>
              </w:rPr>
            </w:pPr>
          </w:p>
          <w:p w:rsidR="004B762F" w:rsidRDefault="00D268FC">
            <w:pPr>
              <w:pStyle w:val="TableParagraph"/>
              <w:ind w:left="66"/>
              <w:rPr>
                <w:sz w:val="18"/>
              </w:rPr>
            </w:pPr>
            <w:r>
              <w:rPr>
                <w:sz w:val="18"/>
              </w:rPr>
              <w:t>,264</w:t>
            </w:r>
            <w:r>
              <w:rPr>
                <w:sz w:val="18"/>
                <w:vertAlign w:val="superscript"/>
              </w:rPr>
              <w:t>**</w:t>
            </w:r>
          </w:p>
        </w:tc>
      </w:tr>
      <w:tr w:rsidR="004B762F">
        <w:trPr>
          <w:trHeight w:val="810"/>
        </w:trPr>
        <w:tc>
          <w:tcPr>
            <w:tcW w:w="587" w:type="dxa"/>
            <w:vMerge/>
            <w:tcBorders>
              <w:top w:val="nil"/>
              <w:right w:val="double" w:sz="1" w:space="0" w:color="000000"/>
            </w:tcBorders>
            <w:shd w:val="clear" w:color="auto" w:fill="8DB3E1"/>
            <w:textDirection w:val="btLr"/>
          </w:tcPr>
          <w:p w:rsidR="004B762F" w:rsidRDefault="004B762F">
            <w:pPr>
              <w:rPr>
                <w:sz w:val="2"/>
                <w:szCs w:val="2"/>
              </w:rPr>
            </w:pPr>
          </w:p>
        </w:tc>
        <w:tc>
          <w:tcPr>
            <w:tcW w:w="1685" w:type="dxa"/>
            <w:tcBorders>
              <w:left w:val="double" w:sz="1" w:space="0" w:color="000000"/>
              <w:right w:val="double" w:sz="2" w:space="0" w:color="000000"/>
            </w:tcBorders>
          </w:tcPr>
          <w:p w:rsidR="004B762F" w:rsidRDefault="00D268FC">
            <w:pPr>
              <w:pStyle w:val="TableParagraph"/>
              <w:spacing w:before="85" w:line="320" w:lineRule="atLeast"/>
              <w:ind w:left="50" w:right="176"/>
              <w:rPr>
                <w:sz w:val="18"/>
              </w:rPr>
            </w:pPr>
            <w:r>
              <w:rPr>
                <w:sz w:val="18"/>
              </w:rPr>
              <w:t>Sparratenrechner (Tagesgeldkonto)</w:t>
            </w:r>
          </w:p>
        </w:tc>
        <w:tc>
          <w:tcPr>
            <w:tcW w:w="852" w:type="dxa"/>
            <w:tcBorders>
              <w:left w:val="double" w:sz="2" w:space="0" w:color="000000"/>
            </w:tcBorders>
          </w:tcPr>
          <w:p w:rsidR="004B762F" w:rsidRDefault="004B762F">
            <w:pPr>
              <w:pStyle w:val="TableParagraph"/>
              <w:rPr>
                <w:sz w:val="31"/>
              </w:rPr>
            </w:pPr>
          </w:p>
          <w:p w:rsidR="004B762F" w:rsidRDefault="00D268FC">
            <w:pPr>
              <w:pStyle w:val="TableParagraph"/>
              <w:ind w:left="58"/>
              <w:rPr>
                <w:sz w:val="18"/>
              </w:rPr>
            </w:pPr>
            <w:r>
              <w:rPr>
                <w:sz w:val="18"/>
              </w:rPr>
              <w:t>,110</w:t>
            </w:r>
            <w:r>
              <w:rPr>
                <w:sz w:val="18"/>
                <w:vertAlign w:val="superscript"/>
              </w:rPr>
              <w:t>*</w:t>
            </w:r>
          </w:p>
        </w:tc>
        <w:tc>
          <w:tcPr>
            <w:tcW w:w="847" w:type="dxa"/>
          </w:tcPr>
          <w:p w:rsidR="004B762F" w:rsidRDefault="004B762F">
            <w:pPr>
              <w:pStyle w:val="TableParagraph"/>
              <w:rPr>
                <w:sz w:val="31"/>
              </w:rPr>
            </w:pPr>
          </w:p>
          <w:p w:rsidR="004B762F" w:rsidRDefault="00D268FC">
            <w:pPr>
              <w:pStyle w:val="TableParagraph"/>
              <w:ind w:left="63"/>
              <w:rPr>
                <w:sz w:val="18"/>
              </w:rPr>
            </w:pPr>
            <w:r>
              <w:rPr>
                <w:sz w:val="18"/>
              </w:rPr>
              <w:t>,244</w:t>
            </w:r>
            <w:r>
              <w:rPr>
                <w:sz w:val="18"/>
                <w:vertAlign w:val="superscript"/>
              </w:rPr>
              <w:t>**</w:t>
            </w:r>
          </w:p>
        </w:tc>
        <w:tc>
          <w:tcPr>
            <w:tcW w:w="855" w:type="dxa"/>
          </w:tcPr>
          <w:p w:rsidR="004B762F" w:rsidRDefault="004B762F">
            <w:pPr>
              <w:pStyle w:val="TableParagraph"/>
              <w:rPr>
                <w:sz w:val="31"/>
              </w:rPr>
            </w:pPr>
          </w:p>
          <w:p w:rsidR="004B762F" w:rsidRDefault="00D268FC">
            <w:pPr>
              <w:pStyle w:val="TableParagraph"/>
              <w:ind w:left="66"/>
              <w:rPr>
                <w:sz w:val="18"/>
              </w:rPr>
            </w:pPr>
            <w:r>
              <w:rPr>
                <w:sz w:val="18"/>
              </w:rPr>
              <w:t>,160</w:t>
            </w:r>
            <w:r>
              <w:rPr>
                <w:sz w:val="18"/>
                <w:vertAlign w:val="superscript"/>
              </w:rPr>
              <w:t>**</w:t>
            </w:r>
          </w:p>
        </w:tc>
        <w:tc>
          <w:tcPr>
            <w:tcW w:w="850" w:type="dxa"/>
          </w:tcPr>
          <w:p w:rsidR="004B762F" w:rsidRDefault="004B762F">
            <w:pPr>
              <w:pStyle w:val="TableParagraph"/>
              <w:rPr>
                <w:sz w:val="31"/>
              </w:rPr>
            </w:pPr>
          </w:p>
          <w:p w:rsidR="004B762F" w:rsidRDefault="00D268FC">
            <w:pPr>
              <w:pStyle w:val="TableParagraph"/>
              <w:ind w:left="65"/>
              <w:rPr>
                <w:sz w:val="18"/>
              </w:rPr>
            </w:pPr>
            <w:r>
              <w:rPr>
                <w:sz w:val="18"/>
              </w:rPr>
              <w:t>,312</w:t>
            </w:r>
            <w:r>
              <w:rPr>
                <w:sz w:val="18"/>
                <w:vertAlign w:val="superscript"/>
              </w:rPr>
              <w:t>**</w:t>
            </w:r>
          </w:p>
        </w:tc>
        <w:tc>
          <w:tcPr>
            <w:tcW w:w="852" w:type="dxa"/>
          </w:tcPr>
          <w:p w:rsidR="004B762F" w:rsidRDefault="004B762F">
            <w:pPr>
              <w:pStyle w:val="TableParagraph"/>
              <w:rPr>
                <w:sz w:val="20"/>
              </w:rPr>
            </w:pPr>
          </w:p>
          <w:p w:rsidR="004B762F" w:rsidRDefault="00D268FC">
            <w:pPr>
              <w:pStyle w:val="TableParagraph"/>
              <w:spacing w:before="126"/>
              <w:ind w:left="63"/>
              <w:rPr>
                <w:sz w:val="18"/>
              </w:rPr>
            </w:pPr>
            <w:r>
              <w:rPr>
                <w:w w:val="99"/>
                <w:sz w:val="18"/>
              </w:rPr>
              <w:t>1</w:t>
            </w:r>
          </w:p>
        </w:tc>
        <w:tc>
          <w:tcPr>
            <w:tcW w:w="850" w:type="dxa"/>
          </w:tcPr>
          <w:p w:rsidR="004B762F" w:rsidRDefault="004B762F">
            <w:pPr>
              <w:pStyle w:val="TableParagraph"/>
              <w:rPr>
                <w:sz w:val="31"/>
              </w:rPr>
            </w:pPr>
          </w:p>
          <w:p w:rsidR="004B762F" w:rsidRDefault="00D268FC">
            <w:pPr>
              <w:pStyle w:val="TableParagraph"/>
              <w:ind w:left="65"/>
              <w:rPr>
                <w:sz w:val="18"/>
              </w:rPr>
            </w:pPr>
            <w:r>
              <w:rPr>
                <w:sz w:val="18"/>
              </w:rPr>
              <w:t>,483</w:t>
            </w:r>
            <w:r>
              <w:rPr>
                <w:sz w:val="18"/>
                <w:vertAlign w:val="superscript"/>
              </w:rPr>
              <w:t>**</w:t>
            </w:r>
          </w:p>
        </w:tc>
        <w:tc>
          <w:tcPr>
            <w:tcW w:w="818" w:type="dxa"/>
          </w:tcPr>
          <w:p w:rsidR="004B762F" w:rsidRDefault="004B762F">
            <w:pPr>
              <w:pStyle w:val="TableParagraph"/>
              <w:rPr>
                <w:sz w:val="31"/>
              </w:rPr>
            </w:pPr>
          </w:p>
          <w:p w:rsidR="004B762F" w:rsidRDefault="00D268FC">
            <w:pPr>
              <w:pStyle w:val="TableParagraph"/>
              <w:ind w:left="65"/>
              <w:rPr>
                <w:sz w:val="18"/>
              </w:rPr>
            </w:pPr>
            <w:r>
              <w:rPr>
                <w:sz w:val="18"/>
              </w:rPr>
              <w:t>,313</w:t>
            </w:r>
            <w:r>
              <w:rPr>
                <w:sz w:val="18"/>
                <w:vertAlign w:val="superscript"/>
              </w:rPr>
              <w:t>**</w:t>
            </w:r>
          </w:p>
        </w:tc>
        <w:tc>
          <w:tcPr>
            <w:tcW w:w="856" w:type="dxa"/>
          </w:tcPr>
          <w:p w:rsidR="004B762F" w:rsidRDefault="004B762F">
            <w:pPr>
              <w:pStyle w:val="TableParagraph"/>
              <w:rPr>
                <w:sz w:val="31"/>
              </w:rPr>
            </w:pPr>
          </w:p>
          <w:p w:rsidR="004B762F" w:rsidRDefault="00D268FC">
            <w:pPr>
              <w:pStyle w:val="TableParagraph"/>
              <w:ind w:left="66"/>
              <w:rPr>
                <w:sz w:val="18"/>
              </w:rPr>
            </w:pPr>
            <w:r>
              <w:rPr>
                <w:sz w:val="18"/>
              </w:rPr>
              <w:t>,470</w:t>
            </w:r>
            <w:r>
              <w:rPr>
                <w:sz w:val="18"/>
                <w:vertAlign w:val="superscript"/>
              </w:rPr>
              <w:t>**</w:t>
            </w:r>
          </w:p>
        </w:tc>
      </w:tr>
      <w:tr w:rsidR="004B762F">
        <w:trPr>
          <w:trHeight w:val="839"/>
        </w:trPr>
        <w:tc>
          <w:tcPr>
            <w:tcW w:w="587" w:type="dxa"/>
            <w:vMerge/>
            <w:tcBorders>
              <w:top w:val="nil"/>
              <w:right w:val="double" w:sz="1" w:space="0" w:color="000000"/>
            </w:tcBorders>
            <w:shd w:val="clear" w:color="auto" w:fill="8DB3E1"/>
            <w:textDirection w:val="btLr"/>
          </w:tcPr>
          <w:p w:rsidR="004B762F" w:rsidRDefault="004B762F">
            <w:pPr>
              <w:rPr>
                <w:sz w:val="2"/>
                <w:szCs w:val="2"/>
              </w:rPr>
            </w:pPr>
          </w:p>
        </w:tc>
        <w:tc>
          <w:tcPr>
            <w:tcW w:w="1685" w:type="dxa"/>
            <w:tcBorders>
              <w:left w:val="double" w:sz="1" w:space="0" w:color="000000"/>
              <w:right w:val="double" w:sz="2" w:space="0" w:color="000000"/>
            </w:tcBorders>
          </w:tcPr>
          <w:p w:rsidR="004B762F" w:rsidRDefault="00D268FC">
            <w:pPr>
              <w:pStyle w:val="TableParagraph"/>
              <w:spacing w:before="99" w:line="320" w:lineRule="atLeast"/>
              <w:ind w:left="50" w:right="176"/>
              <w:rPr>
                <w:sz w:val="18"/>
              </w:rPr>
            </w:pPr>
            <w:r>
              <w:rPr>
                <w:sz w:val="18"/>
              </w:rPr>
              <w:t>Sparratenrechner (Tagesgeldkonto)</w:t>
            </w:r>
          </w:p>
        </w:tc>
        <w:tc>
          <w:tcPr>
            <w:tcW w:w="852" w:type="dxa"/>
            <w:tcBorders>
              <w:left w:val="double" w:sz="2" w:space="0" w:color="000000"/>
            </w:tcBorders>
          </w:tcPr>
          <w:p w:rsidR="004B762F" w:rsidRDefault="004B762F">
            <w:pPr>
              <w:pStyle w:val="TableParagraph"/>
              <w:spacing w:before="5"/>
              <w:rPr>
                <w:sz w:val="32"/>
              </w:rPr>
            </w:pPr>
          </w:p>
          <w:p w:rsidR="004B762F" w:rsidRDefault="00D268FC">
            <w:pPr>
              <w:pStyle w:val="TableParagraph"/>
              <w:ind w:left="58"/>
              <w:rPr>
                <w:sz w:val="18"/>
              </w:rPr>
            </w:pPr>
            <w:r>
              <w:rPr>
                <w:sz w:val="18"/>
              </w:rPr>
              <w:t>,141</w:t>
            </w:r>
            <w:r>
              <w:rPr>
                <w:sz w:val="18"/>
                <w:vertAlign w:val="superscript"/>
              </w:rPr>
              <w:t>**</w:t>
            </w:r>
          </w:p>
        </w:tc>
        <w:tc>
          <w:tcPr>
            <w:tcW w:w="847" w:type="dxa"/>
          </w:tcPr>
          <w:p w:rsidR="004B762F" w:rsidRDefault="004B762F">
            <w:pPr>
              <w:pStyle w:val="TableParagraph"/>
              <w:spacing w:before="5"/>
              <w:rPr>
                <w:sz w:val="32"/>
              </w:rPr>
            </w:pPr>
          </w:p>
          <w:p w:rsidR="004B762F" w:rsidRDefault="00D268FC">
            <w:pPr>
              <w:pStyle w:val="TableParagraph"/>
              <w:ind w:left="63"/>
              <w:rPr>
                <w:sz w:val="18"/>
              </w:rPr>
            </w:pPr>
            <w:r>
              <w:rPr>
                <w:sz w:val="18"/>
              </w:rPr>
              <w:t>,323</w:t>
            </w:r>
            <w:r>
              <w:rPr>
                <w:sz w:val="18"/>
                <w:vertAlign w:val="superscript"/>
              </w:rPr>
              <w:t>**</w:t>
            </w:r>
          </w:p>
        </w:tc>
        <w:tc>
          <w:tcPr>
            <w:tcW w:w="855" w:type="dxa"/>
          </w:tcPr>
          <w:p w:rsidR="004B762F" w:rsidRDefault="004B762F">
            <w:pPr>
              <w:pStyle w:val="TableParagraph"/>
              <w:spacing w:before="5"/>
              <w:rPr>
                <w:sz w:val="32"/>
              </w:rPr>
            </w:pPr>
          </w:p>
          <w:p w:rsidR="004B762F" w:rsidRDefault="00D268FC">
            <w:pPr>
              <w:pStyle w:val="TableParagraph"/>
              <w:ind w:left="66"/>
              <w:rPr>
                <w:sz w:val="18"/>
              </w:rPr>
            </w:pPr>
            <w:r>
              <w:rPr>
                <w:sz w:val="18"/>
              </w:rPr>
              <w:t>,202</w:t>
            </w:r>
            <w:r>
              <w:rPr>
                <w:sz w:val="18"/>
                <w:vertAlign w:val="superscript"/>
              </w:rPr>
              <w:t>**</w:t>
            </w:r>
          </w:p>
        </w:tc>
        <w:tc>
          <w:tcPr>
            <w:tcW w:w="850" w:type="dxa"/>
          </w:tcPr>
          <w:p w:rsidR="004B762F" w:rsidRDefault="004B762F">
            <w:pPr>
              <w:pStyle w:val="TableParagraph"/>
              <w:spacing w:before="5"/>
              <w:rPr>
                <w:sz w:val="32"/>
              </w:rPr>
            </w:pPr>
          </w:p>
          <w:p w:rsidR="004B762F" w:rsidRDefault="00D268FC">
            <w:pPr>
              <w:pStyle w:val="TableParagraph"/>
              <w:ind w:left="65"/>
              <w:rPr>
                <w:sz w:val="18"/>
              </w:rPr>
            </w:pPr>
            <w:r>
              <w:rPr>
                <w:sz w:val="18"/>
              </w:rPr>
              <w:t>,317</w:t>
            </w:r>
            <w:r>
              <w:rPr>
                <w:sz w:val="18"/>
                <w:vertAlign w:val="superscript"/>
              </w:rPr>
              <w:t>**</w:t>
            </w:r>
          </w:p>
        </w:tc>
        <w:tc>
          <w:tcPr>
            <w:tcW w:w="852" w:type="dxa"/>
          </w:tcPr>
          <w:p w:rsidR="004B762F" w:rsidRDefault="004B762F">
            <w:pPr>
              <w:pStyle w:val="TableParagraph"/>
              <w:spacing w:before="5"/>
              <w:rPr>
                <w:sz w:val="32"/>
              </w:rPr>
            </w:pPr>
          </w:p>
          <w:p w:rsidR="004B762F" w:rsidRDefault="00D268FC">
            <w:pPr>
              <w:pStyle w:val="TableParagraph"/>
              <w:ind w:left="63"/>
              <w:rPr>
                <w:sz w:val="18"/>
              </w:rPr>
            </w:pPr>
            <w:r>
              <w:rPr>
                <w:sz w:val="18"/>
              </w:rPr>
              <w:t>,483</w:t>
            </w:r>
            <w:r>
              <w:rPr>
                <w:sz w:val="18"/>
                <w:vertAlign w:val="superscript"/>
              </w:rPr>
              <w:t>**</w:t>
            </w:r>
          </w:p>
        </w:tc>
        <w:tc>
          <w:tcPr>
            <w:tcW w:w="850" w:type="dxa"/>
          </w:tcPr>
          <w:p w:rsidR="004B762F" w:rsidRDefault="004B762F">
            <w:pPr>
              <w:pStyle w:val="TableParagraph"/>
              <w:rPr>
                <w:sz w:val="20"/>
              </w:rPr>
            </w:pPr>
          </w:p>
          <w:p w:rsidR="004B762F" w:rsidRDefault="00D268FC">
            <w:pPr>
              <w:pStyle w:val="TableParagraph"/>
              <w:spacing w:before="143"/>
              <w:ind w:left="65"/>
              <w:rPr>
                <w:sz w:val="18"/>
              </w:rPr>
            </w:pPr>
            <w:r>
              <w:rPr>
                <w:w w:val="99"/>
                <w:sz w:val="18"/>
              </w:rPr>
              <w:t>1</w:t>
            </w:r>
          </w:p>
        </w:tc>
        <w:tc>
          <w:tcPr>
            <w:tcW w:w="818" w:type="dxa"/>
          </w:tcPr>
          <w:p w:rsidR="004B762F" w:rsidRDefault="004B762F">
            <w:pPr>
              <w:pStyle w:val="TableParagraph"/>
              <w:spacing w:before="5"/>
              <w:rPr>
                <w:sz w:val="32"/>
              </w:rPr>
            </w:pPr>
          </w:p>
          <w:p w:rsidR="004B762F" w:rsidRDefault="00D268FC">
            <w:pPr>
              <w:pStyle w:val="TableParagraph"/>
              <w:ind w:left="65"/>
              <w:rPr>
                <w:sz w:val="18"/>
              </w:rPr>
            </w:pPr>
            <w:r>
              <w:rPr>
                <w:sz w:val="18"/>
              </w:rPr>
              <w:t>,282</w:t>
            </w:r>
            <w:r>
              <w:rPr>
                <w:sz w:val="18"/>
                <w:vertAlign w:val="superscript"/>
              </w:rPr>
              <w:t>**</w:t>
            </w:r>
          </w:p>
        </w:tc>
        <w:tc>
          <w:tcPr>
            <w:tcW w:w="856" w:type="dxa"/>
          </w:tcPr>
          <w:p w:rsidR="004B762F" w:rsidRDefault="004B762F">
            <w:pPr>
              <w:pStyle w:val="TableParagraph"/>
              <w:spacing w:before="5"/>
              <w:rPr>
                <w:sz w:val="32"/>
              </w:rPr>
            </w:pPr>
          </w:p>
          <w:p w:rsidR="004B762F" w:rsidRDefault="00D268FC">
            <w:pPr>
              <w:pStyle w:val="TableParagraph"/>
              <w:ind w:left="66"/>
              <w:rPr>
                <w:sz w:val="18"/>
              </w:rPr>
            </w:pPr>
            <w:r>
              <w:rPr>
                <w:sz w:val="18"/>
              </w:rPr>
              <w:t>,480</w:t>
            </w:r>
            <w:r>
              <w:rPr>
                <w:sz w:val="18"/>
                <w:vertAlign w:val="superscript"/>
              </w:rPr>
              <w:t>**</w:t>
            </w:r>
          </w:p>
        </w:tc>
      </w:tr>
      <w:tr w:rsidR="004B762F">
        <w:trPr>
          <w:trHeight w:val="688"/>
        </w:trPr>
        <w:tc>
          <w:tcPr>
            <w:tcW w:w="587" w:type="dxa"/>
            <w:vMerge/>
            <w:tcBorders>
              <w:top w:val="nil"/>
              <w:right w:val="double" w:sz="1" w:space="0" w:color="000000"/>
            </w:tcBorders>
            <w:shd w:val="clear" w:color="auto" w:fill="8DB3E1"/>
            <w:textDirection w:val="btLr"/>
          </w:tcPr>
          <w:p w:rsidR="004B762F" w:rsidRDefault="004B762F">
            <w:pPr>
              <w:rPr>
                <w:sz w:val="2"/>
                <w:szCs w:val="2"/>
              </w:rPr>
            </w:pPr>
          </w:p>
        </w:tc>
        <w:tc>
          <w:tcPr>
            <w:tcW w:w="1685" w:type="dxa"/>
            <w:tcBorders>
              <w:left w:val="double" w:sz="1" w:space="0" w:color="000000"/>
              <w:right w:val="double" w:sz="2" w:space="0" w:color="000000"/>
            </w:tcBorders>
          </w:tcPr>
          <w:p w:rsidR="004B762F" w:rsidRDefault="00D268FC">
            <w:pPr>
              <w:pStyle w:val="TableParagraph"/>
              <w:spacing w:before="25" w:line="320" w:lineRule="atLeast"/>
              <w:ind w:left="50" w:right="176"/>
              <w:rPr>
                <w:sz w:val="18"/>
              </w:rPr>
            </w:pPr>
            <w:r>
              <w:rPr>
                <w:sz w:val="18"/>
              </w:rPr>
              <w:t>Sparratenrechner (Sparbuch)</w:t>
            </w:r>
          </w:p>
        </w:tc>
        <w:tc>
          <w:tcPr>
            <w:tcW w:w="852" w:type="dxa"/>
            <w:tcBorders>
              <w:left w:val="double" w:sz="2" w:space="0" w:color="000000"/>
            </w:tcBorders>
          </w:tcPr>
          <w:p w:rsidR="004B762F" w:rsidRDefault="004B762F">
            <w:pPr>
              <w:pStyle w:val="TableParagraph"/>
              <w:spacing w:before="9"/>
              <w:rPr>
                <w:sz w:val="25"/>
              </w:rPr>
            </w:pPr>
          </w:p>
          <w:p w:rsidR="004B762F" w:rsidRDefault="00D268FC">
            <w:pPr>
              <w:pStyle w:val="TableParagraph"/>
              <w:ind w:left="58"/>
              <w:rPr>
                <w:sz w:val="18"/>
              </w:rPr>
            </w:pPr>
            <w:r>
              <w:rPr>
                <w:sz w:val="18"/>
              </w:rPr>
              <w:t>,091</w:t>
            </w:r>
          </w:p>
        </w:tc>
        <w:tc>
          <w:tcPr>
            <w:tcW w:w="847" w:type="dxa"/>
          </w:tcPr>
          <w:p w:rsidR="004B762F" w:rsidRDefault="004B762F">
            <w:pPr>
              <w:pStyle w:val="TableParagraph"/>
              <w:spacing w:before="9"/>
              <w:rPr>
                <w:sz w:val="25"/>
              </w:rPr>
            </w:pPr>
          </w:p>
          <w:p w:rsidR="004B762F" w:rsidRDefault="00D268FC">
            <w:pPr>
              <w:pStyle w:val="TableParagraph"/>
              <w:ind w:left="63"/>
              <w:rPr>
                <w:sz w:val="18"/>
              </w:rPr>
            </w:pPr>
            <w:r>
              <w:rPr>
                <w:sz w:val="18"/>
              </w:rPr>
              <w:t>,135</w:t>
            </w:r>
            <w:r>
              <w:rPr>
                <w:sz w:val="18"/>
                <w:vertAlign w:val="superscript"/>
              </w:rPr>
              <w:t>**</w:t>
            </w:r>
          </w:p>
        </w:tc>
        <w:tc>
          <w:tcPr>
            <w:tcW w:w="855" w:type="dxa"/>
          </w:tcPr>
          <w:p w:rsidR="004B762F" w:rsidRDefault="004B762F">
            <w:pPr>
              <w:pStyle w:val="TableParagraph"/>
              <w:spacing w:before="9"/>
              <w:rPr>
                <w:sz w:val="25"/>
              </w:rPr>
            </w:pPr>
          </w:p>
          <w:p w:rsidR="004B762F" w:rsidRDefault="00D268FC">
            <w:pPr>
              <w:pStyle w:val="TableParagraph"/>
              <w:ind w:left="66"/>
              <w:rPr>
                <w:sz w:val="18"/>
              </w:rPr>
            </w:pPr>
            <w:r>
              <w:rPr>
                <w:sz w:val="18"/>
              </w:rPr>
              <w:t>,119</w:t>
            </w:r>
            <w:r>
              <w:rPr>
                <w:sz w:val="18"/>
                <w:vertAlign w:val="superscript"/>
              </w:rPr>
              <w:t>*</w:t>
            </w:r>
          </w:p>
        </w:tc>
        <w:tc>
          <w:tcPr>
            <w:tcW w:w="850" w:type="dxa"/>
          </w:tcPr>
          <w:p w:rsidR="004B762F" w:rsidRDefault="004B762F">
            <w:pPr>
              <w:pStyle w:val="TableParagraph"/>
              <w:spacing w:before="9"/>
              <w:rPr>
                <w:sz w:val="25"/>
              </w:rPr>
            </w:pPr>
          </w:p>
          <w:p w:rsidR="004B762F" w:rsidRDefault="00D268FC">
            <w:pPr>
              <w:pStyle w:val="TableParagraph"/>
              <w:ind w:left="65"/>
              <w:rPr>
                <w:sz w:val="18"/>
              </w:rPr>
            </w:pPr>
            <w:r>
              <w:rPr>
                <w:sz w:val="18"/>
              </w:rPr>
              <w:t>,236</w:t>
            </w:r>
            <w:r>
              <w:rPr>
                <w:sz w:val="18"/>
                <w:vertAlign w:val="superscript"/>
              </w:rPr>
              <w:t>**</w:t>
            </w:r>
          </w:p>
        </w:tc>
        <w:tc>
          <w:tcPr>
            <w:tcW w:w="852" w:type="dxa"/>
          </w:tcPr>
          <w:p w:rsidR="004B762F" w:rsidRDefault="004B762F">
            <w:pPr>
              <w:pStyle w:val="TableParagraph"/>
              <w:spacing w:before="9"/>
              <w:rPr>
                <w:sz w:val="25"/>
              </w:rPr>
            </w:pPr>
          </w:p>
          <w:p w:rsidR="004B762F" w:rsidRDefault="00D268FC">
            <w:pPr>
              <w:pStyle w:val="TableParagraph"/>
              <w:ind w:left="63"/>
              <w:rPr>
                <w:sz w:val="18"/>
              </w:rPr>
            </w:pPr>
            <w:r>
              <w:rPr>
                <w:sz w:val="18"/>
              </w:rPr>
              <w:t>,313</w:t>
            </w:r>
            <w:r>
              <w:rPr>
                <w:sz w:val="18"/>
                <w:vertAlign w:val="superscript"/>
              </w:rPr>
              <w:t>**</w:t>
            </w:r>
          </w:p>
        </w:tc>
        <w:tc>
          <w:tcPr>
            <w:tcW w:w="850" w:type="dxa"/>
          </w:tcPr>
          <w:p w:rsidR="004B762F" w:rsidRDefault="004B762F">
            <w:pPr>
              <w:pStyle w:val="TableParagraph"/>
              <w:spacing w:before="9"/>
              <w:rPr>
                <w:sz w:val="25"/>
              </w:rPr>
            </w:pPr>
          </w:p>
          <w:p w:rsidR="004B762F" w:rsidRDefault="00D268FC">
            <w:pPr>
              <w:pStyle w:val="TableParagraph"/>
              <w:ind w:left="65"/>
              <w:rPr>
                <w:sz w:val="18"/>
              </w:rPr>
            </w:pPr>
            <w:r>
              <w:rPr>
                <w:sz w:val="18"/>
              </w:rPr>
              <w:t>,282</w:t>
            </w:r>
            <w:r>
              <w:rPr>
                <w:sz w:val="18"/>
                <w:vertAlign w:val="superscript"/>
              </w:rPr>
              <w:t>**</w:t>
            </w:r>
          </w:p>
        </w:tc>
        <w:tc>
          <w:tcPr>
            <w:tcW w:w="818" w:type="dxa"/>
          </w:tcPr>
          <w:p w:rsidR="004B762F" w:rsidRDefault="004B762F">
            <w:pPr>
              <w:pStyle w:val="TableParagraph"/>
              <w:spacing w:before="9"/>
              <w:rPr>
                <w:sz w:val="25"/>
              </w:rPr>
            </w:pPr>
          </w:p>
          <w:p w:rsidR="004B762F" w:rsidRDefault="00D268FC">
            <w:pPr>
              <w:pStyle w:val="TableParagraph"/>
              <w:ind w:left="65"/>
              <w:rPr>
                <w:sz w:val="18"/>
              </w:rPr>
            </w:pPr>
            <w:r>
              <w:rPr>
                <w:w w:val="99"/>
                <w:sz w:val="18"/>
              </w:rPr>
              <w:t>1</w:t>
            </w:r>
          </w:p>
        </w:tc>
        <w:tc>
          <w:tcPr>
            <w:tcW w:w="856" w:type="dxa"/>
          </w:tcPr>
          <w:p w:rsidR="004B762F" w:rsidRDefault="004B762F">
            <w:pPr>
              <w:pStyle w:val="TableParagraph"/>
              <w:spacing w:before="9"/>
              <w:rPr>
                <w:sz w:val="25"/>
              </w:rPr>
            </w:pPr>
          </w:p>
          <w:p w:rsidR="004B762F" w:rsidRDefault="00D268FC">
            <w:pPr>
              <w:pStyle w:val="TableParagraph"/>
              <w:ind w:left="66"/>
              <w:rPr>
                <w:sz w:val="18"/>
              </w:rPr>
            </w:pPr>
            <w:r>
              <w:rPr>
                <w:sz w:val="18"/>
              </w:rPr>
              <w:t>,294</w:t>
            </w:r>
            <w:r>
              <w:rPr>
                <w:sz w:val="18"/>
                <w:vertAlign w:val="superscript"/>
              </w:rPr>
              <w:t>**</w:t>
            </w:r>
          </w:p>
        </w:tc>
      </w:tr>
      <w:tr w:rsidR="004B762F">
        <w:trPr>
          <w:trHeight w:val="1295"/>
        </w:trPr>
        <w:tc>
          <w:tcPr>
            <w:tcW w:w="587" w:type="dxa"/>
            <w:tcBorders>
              <w:right w:val="double" w:sz="1" w:space="0" w:color="000000"/>
            </w:tcBorders>
            <w:shd w:val="clear" w:color="auto" w:fill="8DB3E1"/>
            <w:textDirection w:val="btLr"/>
          </w:tcPr>
          <w:p w:rsidR="004B762F" w:rsidRDefault="00D268FC">
            <w:pPr>
              <w:pStyle w:val="TableParagraph"/>
              <w:spacing w:before="66" w:line="247" w:lineRule="auto"/>
              <w:ind w:left="122" w:right="102" w:firstLine="57"/>
              <w:rPr>
                <w:b/>
                <w:sz w:val="18"/>
              </w:rPr>
            </w:pPr>
            <w:r>
              <w:rPr>
                <w:b/>
                <w:sz w:val="18"/>
              </w:rPr>
              <w:t>Versichern und Steuern</w:t>
            </w:r>
          </w:p>
        </w:tc>
        <w:tc>
          <w:tcPr>
            <w:tcW w:w="1685" w:type="dxa"/>
            <w:tcBorders>
              <w:left w:val="double" w:sz="1" w:space="0" w:color="000000"/>
              <w:right w:val="double" w:sz="2" w:space="0" w:color="000000"/>
            </w:tcBorders>
          </w:tcPr>
          <w:p w:rsidR="004B762F" w:rsidRDefault="004B762F">
            <w:pPr>
              <w:pStyle w:val="TableParagraph"/>
              <w:rPr>
                <w:sz w:val="20"/>
              </w:rPr>
            </w:pPr>
          </w:p>
          <w:p w:rsidR="004B762F" w:rsidRDefault="004B762F">
            <w:pPr>
              <w:pStyle w:val="TableParagraph"/>
              <w:rPr>
                <w:sz w:val="20"/>
              </w:rPr>
            </w:pPr>
          </w:p>
          <w:p w:rsidR="004B762F" w:rsidRDefault="00D268FC">
            <w:pPr>
              <w:pStyle w:val="TableParagraph"/>
              <w:spacing w:before="141"/>
              <w:ind w:left="50"/>
              <w:rPr>
                <w:sz w:val="18"/>
              </w:rPr>
            </w:pPr>
            <w:r>
              <w:rPr>
                <w:sz w:val="18"/>
              </w:rPr>
              <w:t>Rentenrechner</w:t>
            </w:r>
          </w:p>
        </w:tc>
        <w:tc>
          <w:tcPr>
            <w:tcW w:w="852" w:type="dxa"/>
            <w:tcBorders>
              <w:left w:val="double" w:sz="2" w:space="0" w:color="000000"/>
            </w:tcBorders>
          </w:tcPr>
          <w:p w:rsidR="004B762F" w:rsidRDefault="004B762F">
            <w:pPr>
              <w:pStyle w:val="TableParagraph"/>
              <w:rPr>
                <w:sz w:val="24"/>
              </w:rPr>
            </w:pPr>
          </w:p>
          <w:p w:rsidR="004B762F" w:rsidRDefault="004B762F">
            <w:pPr>
              <w:pStyle w:val="TableParagraph"/>
              <w:spacing w:before="3"/>
              <w:rPr>
                <w:sz w:val="28"/>
              </w:rPr>
            </w:pPr>
          </w:p>
          <w:p w:rsidR="004B762F" w:rsidRDefault="00D268FC">
            <w:pPr>
              <w:pStyle w:val="TableParagraph"/>
              <w:ind w:left="58"/>
              <w:rPr>
                <w:sz w:val="18"/>
              </w:rPr>
            </w:pPr>
            <w:r>
              <w:rPr>
                <w:sz w:val="18"/>
              </w:rPr>
              <w:t>,123</w:t>
            </w:r>
            <w:r>
              <w:rPr>
                <w:sz w:val="18"/>
                <w:vertAlign w:val="superscript"/>
              </w:rPr>
              <w:t>*</w:t>
            </w:r>
          </w:p>
        </w:tc>
        <w:tc>
          <w:tcPr>
            <w:tcW w:w="847" w:type="dxa"/>
          </w:tcPr>
          <w:p w:rsidR="004B762F" w:rsidRDefault="004B762F">
            <w:pPr>
              <w:pStyle w:val="TableParagraph"/>
              <w:rPr>
                <w:sz w:val="24"/>
              </w:rPr>
            </w:pPr>
          </w:p>
          <w:p w:rsidR="004B762F" w:rsidRDefault="004B762F">
            <w:pPr>
              <w:pStyle w:val="TableParagraph"/>
              <w:spacing w:before="3"/>
              <w:rPr>
                <w:sz w:val="28"/>
              </w:rPr>
            </w:pPr>
          </w:p>
          <w:p w:rsidR="004B762F" w:rsidRDefault="00D268FC">
            <w:pPr>
              <w:pStyle w:val="TableParagraph"/>
              <w:ind w:left="63"/>
              <w:rPr>
                <w:sz w:val="18"/>
              </w:rPr>
            </w:pPr>
            <w:r>
              <w:rPr>
                <w:sz w:val="18"/>
              </w:rPr>
              <w:t>,232</w:t>
            </w:r>
            <w:r>
              <w:rPr>
                <w:sz w:val="18"/>
                <w:vertAlign w:val="superscript"/>
              </w:rPr>
              <w:t>**</w:t>
            </w:r>
          </w:p>
        </w:tc>
        <w:tc>
          <w:tcPr>
            <w:tcW w:w="855" w:type="dxa"/>
          </w:tcPr>
          <w:p w:rsidR="004B762F" w:rsidRDefault="004B762F">
            <w:pPr>
              <w:pStyle w:val="TableParagraph"/>
              <w:rPr>
                <w:sz w:val="24"/>
              </w:rPr>
            </w:pPr>
          </w:p>
          <w:p w:rsidR="004B762F" w:rsidRDefault="004B762F">
            <w:pPr>
              <w:pStyle w:val="TableParagraph"/>
              <w:spacing w:before="3"/>
              <w:rPr>
                <w:sz w:val="28"/>
              </w:rPr>
            </w:pPr>
          </w:p>
          <w:p w:rsidR="004B762F" w:rsidRDefault="00D268FC">
            <w:pPr>
              <w:pStyle w:val="TableParagraph"/>
              <w:ind w:left="66"/>
              <w:rPr>
                <w:sz w:val="18"/>
              </w:rPr>
            </w:pPr>
            <w:r>
              <w:rPr>
                <w:sz w:val="18"/>
              </w:rPr>
              <w:t>,199</w:t>
            </w:r>
            <w:r>
              <w:rPr>
                <w:sz w:val="18"/>
                <w:vertAlign w:val="superscript"/>
              </w:rPr>
              <w:t>**</w:t>
            </w:r>
          </w:p>
        </w:tc>
        <w:tc>
          <w:tcPr>
            <w:tcW w:w="850" w:type="dxa"/>
          </w:tcPr>
          <w:p w:rsidR="004B762F" w:rsidRDefault="004B762F">
            <w:pPr>
              <w:pStyle w:val="TableParagraph"/>
              <w:rPr>
                <w:sz w:val="24"/>
              </w:rPr>
            </w:pPr>
          </w:p>
          <w:p w:rsidR="004B762F" w:rsidRDefault="004B762F">
            <w:pPr>
              <w:pStyle w:val="TableParagraph"/>
              <w:spacing w:before="3"/>
              <w:rPr>
                <w:sz w:val="28"/>
              </w:rPr>
            </w:pPr>
          </w:p>
          <w:p w:rsidR="004B762F" w:rsidRDefault="00D268FC">
            <w:pPr>
              <w:pStyle w:val="TableParagraph"/>
              <w:ind w:left="65"/>
              <w:rPr>
                <w:sz w:val="18"/>
              </w:rPr>
            </w:pPr>
            <w:r>
              <w:rPr>
                <w:sz w:val="18"/>
              </w:rPr>
              <w:t>,264</w:t>
            </w:r>
            <w:r>
              <w:rPr>
                <w:sz w:val="18"/>
                <w:vertAlign w:val="superscript"/>
              </w:rPr>
              <w:t>**</w:t>
            </w:r>
          </w:p>
        </w:tc>
        <w:tc>
          <w:tcPr>
            <w:tcW w:w="852" w:type="dxa"/>
          </w:tcPr>
          <w:p w:rsidR="004B762F" w:rsidRDefault="004B762F">
            <w:pPr>
              <w:pStyle w:val="TableParagraph"/>
              <w:rPr>
                <w:sz w:val="24"/>
              </w:rPr>
            </w:pPr>
          </w:p>
          <w:p w:rsidR="004B762F" w:rsidRDefault="004B762F">
            <w:pPr>
              <w:pStyle w:val="TableParagraph"/>
              <w:spacing w:before="3"/>
              <w:rPr>
                <w:sz w:val="28"/>
              </w:rPr>
            </w:pPr>
          </w:p>
          <w:p w:rsidR="004B762F" w:rsidRDefault="00D268FC">
            <w:pPr>
              <w:pStyle w:val="TableParagraph"/>
              <w:ind w:left="63"/>
              <w:rPr>
                <w:sz w:val="18"/>
              </w:rPr>
            </w:pPr>
            <w:r>
              <w:rPr>
                <w:sz w:val="18"/>
              </w:rPr>
              <w:t>,470</w:t>
            </w:r>
            <w:r>
              <w:rPr>
                <w:sz w:val="18"/>
                <w:vertAlign w:val="superscript"/>
              </w:rPr>
              <w:t>**</w:t>
            </w:r>
          </w:p>
        </w:tc>
        <w:tc>
          <w:tcPr>
            <w:tcW w:w="850" w:type="dxa"/>
          </w:tcPr>
          <w:p w:rsidR="004B762F" w:rsidRDefault="004B762F">
            <w:pPr>
              <w:pStyle w:val="TableParagraph"/>
              <w:rPr>
                <w:sz w:val="24"/>
              </w:rPr>
            </w:pPr>
          </w:p>
          <w:p w:rsidR="004B762F" w:rsidRDefault="004B762F">
            <w:pPr>
              <w:pStyle w:val="TableParagraph"/>
              <w:spacing w:before="3"/>
              <w:rPr>
                <w:sz w:val="28"/>
              </w:rPr>
            </w:pPr>
          </w:p>
          <w:p w:rsidR="004B762F" w:rsidRDefault="00D268FC">
            <w:pPr>
              <w:pStyle w:val="TableParagraph"/>
              <w:ind w:left="65"/>
              <w:rPr>
                <w:sz w:val="18"/>
              </w:rPr>
            </w:pPr>
            <w:r>
              <w:rPr>
                <w:sz w:val="18"/>
              </w:rPr>
              <w:t>,480</w:t>
            </w:r>
            <w:r>
              <w:rPr>
                <w:sz w:val="18"/>
                <w:vertAlign w:val="superscript"/>
              </w:rPr>
              <w:t>**</w:t>
            </w:r>
          </w:p>
        </w:tc>
        <w:tc>
          <w:tcPr>
            <w:tcW w:w="818" w:type="dxa"/>
          </w:tcPr>
          <w:p w:rsidR="004B762F" w:rsidRDefault="004B762F">
            <w:pPr>
              <w:pStyle w:val="TableParagraph"/>
              <w:rPr>
                <w:sz w:val="24"/>
              </w:rPr>
            </w:pPr>
          </w:p>
          <w:p w:rsidR="004B762F" w:rsidRDefault="004B762F">
            <w:pPr>
              <w:pStyle w:val="TableParagraph"/>
              <w:spacing w:before="3"/>
              <w:rPr>
                <w:sz w:val="28"/>
              </w:rPr>
            </w:pPr>
          </w:p>
          <w:p w:rsidR="004B762F" w:rsidRDefault="00D268FC">
            <w:pPr>
              <w:pStyle w:val="TableParagraph"/>
              <w:ind w:left="65"/>
              <w:rPr>
                <w:sz w:val="18"/>
              </w:rPr>
            </w:pPr>
            <w:r>
              <w:rPr>
                <w:sz w:val="18"/>
              </w:rPr>
              <w:t>,294</w:t>
            </w:r>
            <w:r>
              <w:rPr>
                <w:sz w:val="18"/>
                <w:vertAlign w:val="superscript"/>
              </w:rPr>
              <w:t>**</w:t>
            </w:r>
          </w:p>
        </w:tc>
        <w:tc>
          <w:tcPr>
            <w:tcW w:w="856" w:type="dxa"/>
          </w:tcPr>
          <w:p w:rsidR="004B762F" w:rsidRDefault="004B762F">
            <w:pPr>
              <w:pStyle w:val="TableParagraph"/>
              <w:rPr>
                <w:sz w:val="20"/>
              </w:rPr>
            </w:pPr>
          </w:p>
          <w:p w:rsidR="004B762F" w:rsidRDefault="004B762F">
            <w:pPr>
              <w:pStyle w:val="TableParagraph"/>
              <w:rPr>
                <w:sz w:val="20"/>
              </w:rPr>
            </w:pPr>
          </w:p>
          <w:p w:rsidR="004B762F" w:rsidRDefault="00D268FC">
            <w:pPr>
              <w:pStyle w:val="TableParagraph"/>
              <w:spacing w:before="141"/>
              <w:ind w:left="66"/>
              <w:rPr>
                <w:sz w:val="18"/>
              </w:rPr>
            </w:pPr>
            <w:r>
              <w:rPr>
                <w:w w:val="99"/>
                <w:sz w:val="18"/>
              </w:rPr>
              <w:t>1</w:t>
            </w:r>
          </w:p>
        </w:tc>
      </w:tr>
    </w:tbl>
    <w:p w:rsidR="004B762F" w:rsidRDefault="00D268FC">
      <w:pPr>
        <w:spacing w:before="112"/>
        <w:ind w:left="274"/>
        <w:rPr>
          <w:sz w:val="18"/>
        </w:rPr>
      </w:pPr>
      <w:r>
        <w:rPr>
          <w:sz w:val="18"/>
        </w:rPr>
        <w:t>** Die Korrelation ist auf dem Niveau von 0,01 (2-seitig) signifikant.</w:t>
      </w:r>
    </w:p>
    <w:p w:rsidR="004B762F" w:rsidRDefault="00D268FC">
      <w:pPr>
        <w:spacing w:before="114"/>
        <w:ind w:left="274"/>
        <w:rPr>
          <w:sz w:val="18"/>
        </w:rPr>
      </w:pPr>
      <w:r>
        <w:rPr>
          <w:sz w:val="18"/>
        </w:rPr>
        <w:t>* Die Korrelation ist auf dem Niveau von 0,05 (2-seitig) signifikant.</w:t>
      </w:r>
    </w:p>
    <w:p w:rsidR="004B762F" w:rsidRDefault="00D268FC">
      <w:pPr>
        <w:spacing w:before="115"/>
        <w:ind w:left="218"/>
        <w:rPr>
          <w:i/>
          <w:sz w:val="20"/>
        </w:rPr>
      </w:pPr>
      <w:r>
        <w:rPr>
          <w:i/>
          <w:sz w:val="20"/>
        </w:rPr>
        <w:t>Abbildung 4: Korrelationsmatrix</w:t>
      </w:r>
    </w:p>
    <w:p w:rsidR="004B762F" w:rsidRDefault="004B762F">
      <w:pPr>
        <w:pStyle w:val="BodyText"/>
        <w:rPr>
          <w:i/>
        </w:rPr>
      </w:pPr>
    </w:p>
    <w:p w:rsidR="004B762F" w:rsidRDefault="004B762F">
      <w:pPr>
        <w:pStyle w:val="BodyText"/>
        <w:spacing w:before="8"/>
        <w:rPr>
          <w:i/>
          <w:sz w:val="21"/>
        </w:rPr>
      </w:pPr>
    </w:p>
    <w:p w:rsidR="004B762F" w:rsidRDefault="00D268FC">
      <w:pPr>
        <w:pStyle w:val="BodyText"/>
        <w:spacing w:line="360" w:lineRule="auto"/>
        <w:ind w:left="218" w:right="230"/>
        <w:jc w:val="both"/>
      </w:pPr>
      <w:r>
        <w:t xml:space="preserve">Der Reliabilitätstest für die Online-Tools ergibt ein Cronbach’s Alpha von ,726 bei einer Po- pulationsgröße von n = 376. Die Trennschärfekoeffizienten </w:t>
      </w:r>
      <w:r>
        <w:rPr>
          <w:i/>
        </w:rPr>
        <w:t>r</w:t>
      </w:r>
      <w:r>
        <w:rPr>
          <w:i/>
          <w:vertAlign w:val="subscript"/>
        </w:rPr>
        <w:t>it</w:t>
      </w:r>
      <w:r>
        <w:rPr>
          <w:i/>
        </w:rPr>
        <w:t xml:space="preserve"> </w:t>
      </w:r>
      <w:r>
        <w:t>(korrigierte Item-Skala- Korrelation) bewegen sich in einem Intervall von ,252 bis ,550 und liegen d</w:t>
      </w:r>
      <w:r>
        <w:t>amit im mittleren Bereich. Die einzelnen Items bilden somit das Konstrukt „Bedienung eines Onlinerechners“ breit ab (Bühner 2006, 98f.), was u. a. zu einer hohen internen Konsistenz führt und damit bestätigt, dass die Items das gleiche Konstrukt messen (Co</w:t>
      </w:r>
      <w:r>
        <w:t>rtina 1993, 99f.).</w:t>
      </w:r>
    </w:p>
    <w:p w:rsidR="004B762F" w:rsidRDefault="004B762F">
      <w:pPr>
        <w:spacing w:line="360" w:lineRule="auto"/>
        <w:jc w:val="both"/>
        <w:sectPr w:rsidR="004B762F">
          <w:headerReference w:type="default" r:id="rId7"/>
          <w:footerReference w:type="default" r:id="rId8"/>
          <w:pgSz w:w="11880" w:h="16800"/>
          <w:pgMar w:top="2040" w:right="1180" w:bottom="1040" w:left="1200" w:header="1432" w:footer="840" w:gutter="0"/>
          <w:cols w:space="720"/>
        </w:sectPr>
      </w:pPr>
    </w:p>
    <w:p w:rsidR="004B762F" w:rsidRDefault="004B762F">
      <w:pPr>
        <w:pStyle w:val="BodyText"/>
        <w:spacing w:before="9"/>
        <w:rPr>
          <w:sz w:val="13"/>
        </w:rPr>
      </w:pPr>
    </w:p>
    <w:p w:rsidR="004B762F" w:rsidRDefault="00D268FC">
      <w:pPr>
        <w:pStyle w:val="BodyText"/>
        <w:spacing w:before="93" w:line="360" w:lineRule="auto"/>
        <w:ind w:left="218" w:right="230"/>
        <w:jc w:val="both"/>
      </w:pPr>
      <w:r>
        <w:t>Aus den Ergebnissen der Reliabilitätsanalyse und der Korrelationsmatrix kann die neue Va- riable Ψ berechnet werden, die fortan das Teilkonstrukt „Bedienung von Online-Tools“ reprä- sentiert. Nachdem wie beschrieben di</w:t>
      </w:r>
      <w:r>
        <w:t>e fehlerhaften, falschen und richtigen Eingaben der Schüler für jedes einzelne Feld eines Online-Rechners identifiziert wurden, konnte ein Ge- samtresultat für jeden Schüler und Tool gezogen werden. Das Ergebnis erschließt sich aus allen Eingaben in die ve</w:t>
      </w:r>
      <w:r>
        <w:t xml:space="preserve">rschiedenen Felder eines Online-Rechners und ist ebenfalls als rich- tig, falsch oder fehlerhaft codiert. Ungültige Angaben wurden ausgeschlossen. Um eine Ge- samtaussage über alle Rechner und für jeden Schüler zu geben, wurde aus den Werten eine Funktion </w:t>
      </w:r>
      <w:r>
        <w:t>der Endergebnisse der einzelnen Online-Rechner gebildet, die sich zwischen 0 und 1 bewegt und den Durchschnitt der Werte als Funktion darstellt. Anhand dieser Werte orien- tiert sich die Skala zur Ergebnispräsentation (Baur/Fromm 2008, 100f.).</w:t>
      </w:r>
    </w:p>
    <w:p w:rsidR="004B762F" w:rsidRDefault="004B762F">
      <w:pPr>
        <w:pStyle w:val="BodyText"/>
        <w:rPr>
          <w:sz w:val="20"/>
        </w:rPr>
      </w:pPr>
    </w:p>
    <w:p w:rsidR="004B762F" w:rsidRDefault="00D268FC">
      <w:pPr>
        <w:pStyle w:val="BodyText"/>
        <w:spacing w:before="8"/>
        <w:rPr>
          <w:sz w:val="27"/>
        </w:rPr>
      </w:pPr>
      <w:r>
        <w:rPr>
          <w:noProof/>
          <w:lang w:val="en-AU" w:eastAsia="en-AU" w:bidi="ar-SA"/>
        </w:rPr>
        <w:drawing>
          <wp:anchor distT="0" distB="0" distL="0" distR="0" simplePos="0" relativeHeight="11" behindDoc="0" locked="0" layoutInCell="1" allowOverlap="1">
            <wp:simplePos x="0" y="0"/>
            <wp:positionH relativeFrom="page">
              <wp:posOffset>1050947</wp:posOffset>
            </wp:positionH>
            <wp:positionV relativeFrom="paragraph">
              <wp:posOffset>227584</wp:posOffset>
            </wp:positionV>
            <wp:extent cx="4340039" cy="3768471"/>
            <wp:effectExtent l="0" t="0" r="0" b="0"/>
            <wp:wrapTopAndBottom/>
            <wp:docPr id="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1.png"/>
                    <pic:cNvPicPr/>
                  </pic:nvPicPr>
                  <pic:blipFill>
                    <a:blip r:embed="rId9" cstate="print"/>
                    <a:stretch>
                      <a:fillRect/>
                    </a:stretch>
                  </pic:blipFill>
                  <pic:spPr>
                    <a:xfrm>
                      <a:off x="0" y="0"/>
                      <a:ext cx="4340039" cy="3768471"/>
                    </a:xfrm>
                    <a:prstGeom prst="rect">
                      <a:avLst/>
                    </a:prstGeom>
                  </pic:spPr>
                </pic:pic>
              </a:graphicData>
            </a:graphic>
          </wp:anchor>
        </w:drawing>
      </w:r>
    </w:p>
    <w:p w:rsidR="004B762F" w:rsidRDefault="004B762F">
      <w:pPr>
        <w:pStyle w:val="BodyText"/>
        <w:spacing w:before="3"/>
        <w:rPr>
          <w:sz w:val="19"/>
        </w:rPr>
      </w:pPr>
    </w:p>
    <w:p w:rsidR="004B762F" w:rsidRDefault="00D268FC">
      <w:pPr>
        <w:ind w:left="218"/>
        <w:jc w:val="both"/>
        <w:rPr>
          <w:i/>
          <w:sz w:val="20"/>
        </w:rPr>
      </w:pPr>
      <w:r>
        <w:rPr>
          <w:i/>
          <w:sz w:val="20"/>
        </w:rPr>
        <w:t>Abbildung 5: Ausprägung von Ψ</w:t>
      </w:r>
    </w:p>
    <w:p w:rsidR="004B762F" w:rsidRDefault="004B762F">
      <w:pPr>
        <w:pStyle w:val="BodyText"/>
        <w:rPr>
          <w:i/>
        </w:rPr>
      </w:pPr>
    </w:p>
    <w:p w:rsidR="004B762F" w:rsidRDefault="004B762F">
      <w:pPr>
        <w:pStyle w:val="BodyText"/>
        <w:spacing w:before="8"/>
        <w:rPr>
          <w:i/>
          <w:sz w:val="21"/>
        </w:rPr>
      </w:pPr>
    </w:p>
    <w:p w:rsidR="004B762F" w:rsidRDefault="00D268FC">
      <w:pPr>
        <w:pStyle w:val="BodyText"/>
        <w:ind w:left="218"/>
        <w:jc w:val="both"/>
      </w:pPr>
      <w:r>
        <w:t>Die Berechnungsvorschrift lautet:</w:t>
      </w:r>
    </w:p>
    <w:p w:rsidR="004B762F" w:rsidRDefault="00D268FC">
      <w:pPr>
        <w:pStyle w:val="BodyText"/>
        <w:spacing w:before="160" w:line="109" w:lineRule="exact"/>
        <w:ind w:left="1140"/>
      </w:pPr>
      <w:r>
        <w:rPr>
          <w:rFonts w:ascii="Times New Roman" w:hAnsi="Times New Roman"/>
          <w:position w:val="13"/>
          <w:sz w:val="16"/>
          <w:u w:val="single"/>
        </w:rPr>
        <w:t xml:space="preserve"> </w:t>
      </w:r>
      <w:r>
        <w:rPr>
          <w:rFonts w:ascii="Cambria Math" w:hAnsi="Cambria Math"/>
          <w:w w:val="269"/>
          <w:position w:val="13"/>
          <w:sz w:val="16"/>
          <w:u w:val="single"/>
        </w:rPr>
        <w:t xml:space="preserve"> </w:t>
      </w:r>
      <w:r>
        <w:rPr>
          <w:rFonts w:ascii="Cambria Math" w:hAnsi="Cambria Math"/>
          <w:w w:val="169"/>
          <w:position w:val="10"/>
          <w:sz w:val="13"/>
          <w:u w:val="single"/>
        </w:rPr>
        <w:t xml:space="preserve"> </w:t>
      </w:r>
      <w:r>
        <w:rPr>
          <w:rFonts w:ascii="Cambria Math" w:hAnsi="Cambria Math"/>
          <w:position w:val="10"/>
          <w:sz w:val="13"/>
        </w:rPr>
        <w:t xml:space="preserve"> </w:t>
      </w:r>
      <w:r>
        <w:rPr>
          <w:rFonts w:ascii="Cambria Math" w:hAnsi="Cambria Math"/>
          <w:w w:val="235"/>
        </w:rPr>
        <w:t xml:space="preserve">   </w:t>
      </w:r>
      <w:r>
        <w:rPr>
          <w:rFonts w:ascii="Cambria Math" w:hAnsi="Cambria Math"/>
        </w:rPr>
        <w:t xml:space="preserve"> </w:t>
      </w:r>
      <w:r>
        <w:rPr>
          <w:rFonts w:ascii="Cambria Math" w:hAnsi="Cambria Math"/>
          <w:w w:val="261"/>
        </w:rPr>
        <w:t xml:space="preserve"> </w:t>
      </w:r>
      <w:r>
        <w:rPr>
          <w:rFonts w:ascii="Cambria Math" w:hAnsi="Cambria Math"/>
        </w:rPr>
        <w:t xml:space="preserve"> </w:t>
      </w:r>
      <w:r>
        <w:rPr>
          <w:rFonts w:ascii="Cambria Math" w:hAnsi="Cambria Math"/>
          <w:w w:val="283"/>
        </w:rPr>
        <w:t xml:space="preserve"> </w:t>
      </w:r>
      <w:r>
        <w:rPr>
          <w:rFonts w:ascii="Cambria Math" w:hAnsi="Cambria Math"/>
        </w:rPr>
        <w:t xml:space="preserve"> </w:t>
      </w:r>
      <w:r>
        <w:rPr>
          <w:rFonts w:ascii="Cambria Math" w:hAnsi="Cambria Math"/>
          <w:w w:val="339"/>
        </w:rPr>
        <w:t xml:space="preserve"> </w:t>
      </w:r>
      <w:r>
        <w:rPr>
          <w:rFonts w:ascii="Cambria Math" w:hAnsi="Cambria Math"/>
          <w:w w:val="332"/>
          <w:position w:val="8"/>
          <w:sz w:val="16"/>
        </w:rPr>
        <w:t xml:space="preserve"> </w:t>
      </w:r>
      <w:r>
        <w:rPr>
          <w:rFonts w:ascii="Cambria Math" w:hAnsi="Cambria Math"/>
          <w:position w:val="8"/>
          <w:sz w:val="16"/>
        </w:rPr>
        <w:t xml:space="preserve">  </w:t>
      </w:r>
      <w:r>
        <w:t>(Anzahl der verfügbaren Online-Tools)</w:t>
      </w:r>
    </w:p>
    <w:p w:rsidR="004B762F" w:rsidRDefault="00D268FC">
      <w:pPr>
        <w:spacing w:before="61"/>
        <w:ind w:left="833"/>
        <w:rPr>
          <w:rFonts w:ascii="Cambria Math"/>
          <w:sz w:val="16"/>
        </w:rPr>
      </w:pPr>
      <w:r>
        <w:rPr>
          <w:rFonts w:ascii="Cambria Math"/>
          <w:spacing w:val="6"/>
          <w:w w:val="159"/>
          <w:sz w:val="16"/>
        </w:rPr>
        <w:t xml:space="preserve"> </w:t>
      </w:r>
      <w:r>
        <w:rPr>
          <w:rFonts w:ascii="Cambria Math"/>
          <w:w w:val="332"/>
          <w:sz w:val="16"/>
        </w:rPr>
        <w:t xml:space="preserve"> </w:t>
      </w:r>
      <w:r>
        <w:rPr>
          <w:rFonts w:ascii="Cambria Math"/>
          <w:w w:val="264"/>
          <w:sz w:val="16"/>
        </w:rPr>
        <w:t xml:space="preserve"> </w:t>
      </w:r>
      <w:r>
        <w:rPr>
          <w:rFonts w:ascii="Cambria Math"/>
          <w:sz w:val="16"/>
        </w:rPr>
        <w:t xml:space="preserve"> </w:t>
      </w:r>
      <w:r>
        <w:rPr>
          <w:rFonts w:ascii="Cambria Math"/>
          <w:spacing w:val="-15"/>
          <w:sz w:val="16"/>
        </w:rPr>
        <w:t xml:space="preserve"> </w:t>
      </w:r>
      <w:r>
        <w:rPr>
          <w:rFonts w:ascii="Cambria Math"/>
          <w:w w:val="296"/>
          <w:position w:val="-5"/>
          <w:sz w:val="16"/>
        </w:rPr>
        <w:t xml:space="preserve"> </w:t>
      </w:r>
    </w:p>
    <w:p w:rsidR="004B762F" w:rsidRDefault="004B762F">
      <w:pPr>
        <w:rPr>
          <w:rFonts w:ascii="Cambria Math"/>
          <w:sz w:val="16"/>
        </w:rPr>
        <w:sectPr w:rsidR="004B762F">
          <w:pgSz w:w="11880" w:h="16800"/>
          <w:pgMar w:top="2040" w:right="1180" w:bottom="1040" w:left="1200" w:header="1432" w:footer="840" w:gutter="0"/>
          <w:cols w:space="720"/>
        </w:sectPr>
      </w:pPr>
    </w:p>
    <w:p w:rsidR="004B762F" w:rsidRDefault="004B762F">
      <w:pPr>
        <w:pStyle w:val="BodyText"/>
        <w:spacing w:before="6"/>
        <w:rPr>
          <w:rFonts w:ascii="Cambria Math"/>
          <w:sz w:val="13"/>
        </w:rPr>
      </w:pPr>
    </w:p>
    <w:p w:rsidR="004B762F" w:rsidRDefault="00D268FC">
      <w:pPr>
        <w:pStyle w:val="BodyText"/>
        <w:spacing w:before="93" w:line="360" w:lineRule="auto"/>
        <w:ind w:left="218" w:right="233"/>
        <w:jc w:val="both"/>
      </w:pPr>
      <w:r>
        <w:t>Unterteilt wird die Skala für Ψ in vier Intervalle, wobei die Stufen der Skala durch vier zuge- hörige Werte beschrieben werden: Werte zwischen 0 und &lt; 0,25 zeigen ein sehr geringes Ψ, zwischen 0,25 und &lt; 0,5 ein geringes Ψ, zwischen 0,5 und &lt; 0,75 ein mit</w:t>
      </w:r>
      <w:r>
        <w:t>tleres Ψ und im Bereich von 0,75 und 1,00 ein sehr hohes Ψ. Durch diese Einteilung können Schüler und spezifische Gruppen (Alter, Stufe, Schulform und Geschlecht) hinsichtlich Ψ analysiert wer- den.</w:t>
      </w:r>
    </w:p>
    <w:p w:rsidR="004B762F" w:rsidRDefault="00D268FC">
      <w:pPr>
        <w:pStyle w:val="BodyText"/>
        <w:spacing w:line="360" w:lineRule="auto"/>
        <w:ind w:left="218" w:right="232"/>
        <w:jc w:val="both"/>
      </w:pPr>
      <w:r>
        <w:t>Insgesamt weisen ca. 60 % der Schüler einen Handlungswert Ψ &lt; 0,75 auf und befinden sich damit im mittleren Bereich der Skala. Dieser Wert überrascht, zeigt er doch, dass viele Schüler Probleme haben, die zur Verfügung gestellten Onlinerechner zu bedienen.</w:t>
      </w:r>
      <w:r>
        <w:t xml:space="preserve"> Innerhalb der Population gibt es signifikante Unterschiede zwischen den Gruppen, die u. a. auf das Alter zurückzuführen sind. Keinen signifikanten Unterschied ergibt die Beziehung zwischen Geschlecht und</w:t>
      </w:r>
      <w:r>
        <w:rPr>
          <w:spacing w:val="-4"/>
        </w:rPr>
        <w:t xml:space="preserve"> </w:t>
      </w:r>
      <w:r>
        <w:t>Ψ.</w:t>
      </w:r>
    </w:p>
    <w:p w:rsidR="004B762F" w:rsidRDefault="00D268FC">
      <w:pPr>
        <w:pStyle w:val="BodyText"/>
        <w:spacing w:line="360" w:lineRule="auto"/>
        <w:ind w:left="218" w:right="230"/>
        <w:jc w:val="both"/>
      </w:pPr>
      <w:r>
        <w:t>Zwischen der 9. und 10. Jahrgangsstufe lässt sic</w:t>
      </w:r>
      <w:r>
        <w:t>h ein signifikanter Unterschied in Bezug auf die Fähigkeit, Online-Tools bedienen zu können, erkennen. Der Unterschied beträgt 0,1 auf der Ψ-Skala und stellt damit einen mittleren Leistungsabfall von 10 % dar. Der Hauptteil der Schüler befindet sich in der</w:t>
      </w:r>
      <w:r>
        <w:t xml:space="preserve"> mittleren Niveaustufe. Lediglich bei den 14-Jährigen kann von einer hohen Kompetenz Ψ (Umgang mit Online-Rechnern) gesprochen werden. Der Anteil der 14-jährigen Schüler bezieht sich auf die Schulform Gymnasium, die G8 eingeführt ha- ben.</w:t>
      </w:r>
    </w:p>
    <w:p w:rsidR="004B762F" w:rsidRDefault="004B762F">
      <w:pPr>
        <w:pStyle w:val="BodyText"/>
        <w:rPr>
          <w:sz w:val="20"/>
        </w:rPr>
      </w:pPr>
    </w:p>
    <w:p w:rsidR="004B762F" w:rsidRDefault="004B762F">
      <w:pPr>
        <w:pStyle w:val="BodyText"/>
        <w:spacing w:before="3"/>
        <w:rPr>
          <w:sz w:val="13"/>
        </w:rPr>
      </w:pPr>
    </w:p>
    <w:tbl>
      <w:tblPr>
        <w:tblW w:w="0" w:type="auto"/>
        <w:tblInd w:w="22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358"/>
        <w:gridCol w:w="984"/>
        <w:gridCol w:w="1034"/>
        <w:gridCol w:w="1430"/>
        <w:gridCol w:w="1432"/>
        <w:gridCol w:w="1435"/>
        <w:gridCol w:w="1398"/>
      </w:tblGrid>
      <w:tr w:rsidR="004B762F">
        <w:trPr>
          <w:trHeight w:val="305"/>
        </w:trPr>
        <w:tc>
          <w:tcPr>
            <w:tcW w:w="1358" w:type="dxa"/>
            <w:vMerge w:val="restart"/>
          </w:tcPr>
          <w:p w:rsidR="004B762F" w:rsidRDefault="004B762F">
            <w:pPr>
              <w:pStyle w:val="TableParagraph"/>
              <w:rPr>
                <w:rFonts w:ascii="Times New Roman"/>
                <w:sz w:val="20"/>
              </w:rPr>
            </w:pPr>
          </w:p>
        </w:tc>
        <w:tc>
          <w:tcPr>
            <w:tcW w:w="984" w:type="dxa"/>
            <w:vMerge w:val="restart"/>
            <w:tcBorders>
              <w:right w:val="single" w:sz="8" w:space="0" w:color="000000"/>
            </w:tcBorders>
          </w:tcPr>
          <w:p w:rsidR="004B762F" w:rsidRDefault="00D268FC">
            <w:pPr>
              <w:pStyle w:val="TableParagraph"/>
              <w:spacing w:before="111"/>
              <w:ind w:left="36"/>
              <w:jc w:val="center"/>
              <w:rPr>
                <w:sz w:val="18"/>
              </w:rPr>
            </w:pPr>
            <w:r>
              <w:rPr>
                <w:w w:val="99"/>
                <w:sz w:val="18"/>
              </w:rPr>
              <w:t>N</w:t>
            </w:r>
          </w:p>
        </w:tc>
        <w:tc>
          <w:tcPr>
            <w:tcW w:w="1034" w:type="dxa"/>
            <w:vMerge w:val="restart"/>
            <w:tcBorders>
              <w:left w:val="single" w:sz="8" w:space="0" w:color="000000"/>
              <w:right w:val="single" w:sz="8" w:space="0" w:color="000000"/>
            </w:tcBorders>
          </w:tcPr>
          <w:p w:rsidR="004B762F" w:rsidRDefault="00D268FC">
            <w:pPr>
              <w:pStyle w:val="TableParagraph"/>
              <w:spacing w:before="111"/>
              <w:ind w:left="117" w:right="85"/>
              <w:jc w:val="center"/>
              <w:rPr>
                <w:sz w:val="18"/>
              </w:rPr>
            </w:pPr>
            <w:r>
              <w:rPr>
                <w:sz w:val="18"/>
              </w:rPr>
              <w:t>Mittelwert</w:t>
            </w:r>
          </w:p>
          <w:p w:rsidR="004B762F" w:rsidRDefault="00D268FC">
            <w:pPr>
              <w:pStyle w:val="TableParagraph"/>
              <w:spacing w:before="65"/>
              <w:ind w:left="30"/>
              <w:jc w:val="center"/>
            </w:pPr>
            <w:r>
              <w:t>Ψ</w:t>
            </w:r>
          </w:p>
        </w:tc>
        <w:tc>
          <w:tcPr>
            <w:tcW w:w="5695" w:type="dxa"/>
            <w:gridSpan w:val="4"/>
            <w:tcBorders>
              <w:left w:val="single" w:sz="8" w:space="0" w:color="000000"/>
              <w:bottom w:val="single" w:sz="8" w:space="0" w:color="FFFFFF"/>
              <w:right w:val="single" w:sz="8" w:space="0" w:color="000000"/>
            </w:tcBorders>
          </w:tcPr>
          <w:p w:rsidR="004B762F" w:rsidRDefault="00D268FC">
            <w:pPr>
              <w:pStyle w:val="TableParagraph"/>
              <w:spacing w:before="111" w:line="174" w:lineRule="exact"/>
              <w:ind w:left="2650" w:right="2614"/>
              <w:jc w:val="center"/>
              <w:rPr>
                <w:sz w:val="18"/>
              </w:rPr>
            </w:pPr>
            <w:r>
              <w:rPr>
                <w:sz w:val="18"/>
              </w:rPr>
              <w:t>Alter</w:t>
            </w:r>
          </w:p>
        </w:tc>
      </w:tr>
      <w:tr w:rsidR="004B762F">
        <w:trPr>
          <w:trHeight w:val="324"/>
        </w:trPr>
        <w:tc>
          <w:tcPr>
            <w:tcW w:w="1358" w:type="dxa"/>
            <w:vMerge/>
            <w:tcBorders>
              <w:top w:val="nil"/>
            </w:tcBorders>
          </w:tcPr>
          <w:p w:rsidR="004B762F" w:rsidRDefault="004B762F">
            <w:pPr>
              <w:rPr>
                <w:sz w:val="2"/>
                <w:szCs w:val="2"/>
              </w:rPr>
            </w:pPr>
          </w:p>
        </w:tc>
        <w:tc>
          <w:tcPr>
            <w:tcW w:w="984" w:type="dxa"/>
            <w:vMerge/>
            <w:tcBorders>
              <w:top w:val="nil"/>
              <w:right w:val="single" w:sz="8" w:space="0" w:color="000000"/>
            </w:tcBorders>
          </w:tcPr>
          <w:p w:rsidR="004B762F" w:rsidRDefault="004B762F">
            <w:pPr>
              <w:rPr>
                <w:sz w:val="2"/>
                <w:szCs w:val="2"/>
              </w:rPr>
            </w:pPr>
          </w:p>
        </w:tc>
        <w:tc>
          <w:tcPr>
            <w:tcW w:w="1034" w:type="dxa"/>
            <w:vMerge/>
            <w:tcBorders>
              <w:top w:val="nil"/>
              <w:left w:val="single" w:sz="8" w:space="0" w:color="000000"/>
              <w:right w:val="single" w:sz="8" w:space="0" w:color="000000"/>
            </w:tcBorders>
          </w:tcPr>
          <w:p w:rsidR="004B762F" w:rsidRDefault="004B762F">
            <w:pPr>
              <w:rPr>
                <w:sz w:val="2"/>
                <w:szCs w:val="2"/>
              </w:rPr>
            </w:pPr>
          </w:p>
        </w:tc>
        <w:tc>
          <w:tcPr>
            <w:tcW w:w="1430" w:type="dxa"/>
            <w:tcBorders>
              <w:top w:val="single" w:sz="8" w:space="0" w:color="000000"/>
              <w:left w:val="single" w:sz="8" w:space="0" w:color="000000"/>
              <w:right w:val="single" w:sz="8" w:space="0" w:color="000000"/>
            </w:tcBorders>
          </w:tcPr>
          <w:p w:rsidR="004B762F" w:rsidRDefault="00D268FC">
            <w:pPr>
              <w:pStyle w:val="TableParagraph"/>
              <w:spacing w:before="120" w:line="184" w:lineRule="exact"/>
              <w:ind w:left="600" w:right="569"/>
              <w:jc w:val="center"/>
              <w:rPr>
                <w:sz w:val="18"/>
              </w:rPr>
            </w:pPr>
            <w:r>
              <w:rPr>
                <w:sz w:val="18"/>
              </w:rPr>
              <w:t>14</w:t>
            </w:r>
          </w:p>
        </w:tc>
        <w:tc>
          <w:tcPr>
            <w:tcW w:w="1432" w:type="dxa"/>
            <w:tcBorders>
              <w:top w:val="single" w:sz="8" w:space="0" w:color="000000"/>
              <w:left w:val="single" w:sz="8" w:space="0" w:color="000000"/>
            </w:tcBorders>
          </w:tcPr>
          <w:p w:rsidR="004B762F" w:rsidRDefault="00D268FC">
            <w:pPr>
              <w:pStyle w:val="TableParagraph"/>
              <w:spacing w:before="120" w:line="184" w:lineRule="exact"/>
              <w:ind w:left="603" w:right="555"/>
              <w:jc w:val="center"/>
              <w:rPr>
                <w:sz w:val="18"/>
              </w:rPr>
            </w:pPr>
            <w:r>
              <w:rPr>
                <w:sz w:val="18"/>
              </w:rPr>
              <w:t>15</w:t>
            </w:r>
          </w:p>
        </w:tc>
        <w:tc>
          <w:tcPr>
            <w:tcW w:w="1435" w:type="dxa"/>
            <w:tcBorders>
              <w:top w:val="single" w:sz="18" w:space="0" w:color="FFFFFF"/>
            </w:tcBorders>
          </w:tcPr>
          <w:p w:rsidR="004B762F" w:rsidRDefault="00D268FC">
            <w:pPr>
              <w:pStyle w:val="TableParagraph"/>
              <w:spacing w:before="120" w:line="184" w:lineRule="exact"/>
              <w:ind w:left="587" w:right="562"/>
              <w:jc w:val="center"/>
              <w:rPr>
                <w:sz w:val="18"/>
              </w:rPr>
            </w:pPr>
            <w:r>
              <w:rPr>
                <w:sz w:val="18"/>
              </w:rPr>
              <w:t>16</w:t>
            </w:r>
          </w:p>
        </w:tc>
        <w:tc>
          <w:tcPr>
            <w:tcW w:w="1398" w:type="dxa"/>
            <w:tcBorders>
              <w:top w:val="single" w:sz="18" w:space="0" w:color="FFFFFF"/>
            </w:tcBorders>
          </w:tcPr>
          <w:p w:rsidR="004B762F" w:rsidRDefault="00D268FC">
            <w:pPr>
              <w:pStyle w:val="TableParagraph"/>
              <w:spacing w:before="120" w:line="184" w:lineRule="exact"/>
              <w:ind w:left="568" w:right="543"/>
              <w:jc w:val="center"/>
              <w:rPr>
                <w:sz w:val="18"/>
              </w:rPr>
            </w:pPr>
            <w:r>
              <w:rPr>
                <w:sz w:val="18"/>
              </w:rPr>
              <w:t>17</w:t>
            </w:r>
          </w:p>
        </w:tc>
      </w:tr>
      <w:tr w:rsidR="004B762F">
        <w:trPr>
          <w:trHeight w:val="358"/>
        </w:trPr>
        <w:tc>
          <w:tcPr>
            <w:tcW w:w="1358" w:type="dxa"/>
            <w:tcBorders>
              <w:bottom w:val="nil"/>
            </w:tcBorders>
          </w:tcPr>
          <w:p w:rsidR="004B762F" w:rsidRDefault="00D268FC">
            <w:pPr>
              <w:pStyle w:val="TableParagraph"/>
              <w:spacing w:before="111"/>
              <w:ind w:left="75"/>
              <w:rPr>
                <w:sz w:val="18"/>
              </w:rPr>
            </w:pPr>
            <w:r>
              <w:rPr>
                <w:sz w:val="18"/>
              </w:rPr>
              <w:t>Gymnasium</w:t>
            </w:r>
          </w:p>
        </w:tc>
        <w:tc>
          <w:tcPr>
            <w:tcW w:w="984" w:type="dxa"/>
            <w:tcBorders>
              <w:bottom w:val="nil"/>
              <w:right w:val="single" w:sz="8" w:space="0" w:color="000000"/>
            </w:tcBorders>
          </w:tcPr>
          <w:p w:rsidR="004B762F" w:rsidRDefault="00D268FC">
            <w:pPr>
              <w:pStyle w:val="TableParagraph"/>
              <w:spacing w:before="111"/>
              <w:ind w:right="35"/>
              <w:jc w:val="right"/>
              <w:rPr>
                <w:sz w:val="18"/>
              </w:rPr>
            </w:pPr>
            <w:r>
              <w:rPr>
                <w:w w:val="95"/>
                <w:sz w:val="18"/>
              </w:rPr>
              <w:t>215</w:t>
            </w:r>
          </w:p>
        </w:tc>
        <w:tc>
          <w:tcPr>
            <w:tcW w:w="1034" w:type="dxa"/>
            <w:tcBorders>
              <w:left w:val="single" w:sz="8" w:space="0" w:color="000000"/>
              <w:bottom w:val="nil"/>
              <w:right w:val="single" w:sz="8" w:space="0" w:color="000000"/>
            </w:tcBorders>
          </w:tcPr>
          <w:p w:rsidR="004B762F" w:rsidRDefault="00D268FC">
            <w:pPr>
              <w:pStyle w:val="TableParagraph"/>
              <w:spacing w:before="111"/>
              <w:ind w:right="43"/>
              <w:jc w:val="right"/>
              <w:rPr>
                <w:sz w:val="18"/>
              </w:rPr>
            </w:pPr>
            <w:r>
              <w:rPr>
                <w:w w:val="95"/>
                <w:sz w:val="18"/>
              </w:rPr>
              <w:t>,7256</w:t>
            </w:r>
          </w:p>
        </w:tc>
        <w:tc>
          <w:tcPr>
            <w:tcW w:w="1430" w:type="dxa"/>
            <w:tcBorders>
              <w:left w:val="single" w:sz="8" w:space="0" w:color="000000"/>
              <w:bottom w:val="nil"/>
              <w:right w:val="single" w:sz="8" w:space="0" w:color="000000"/>
            </w:tcBorders>
          </w:tcPr>
          <w:p w:rsidR="004B762F" w:rsidRDefault="00D268FC">
            <w:pPr>
              <w:pStyle w:val="TableParagraph"/>
              <w:spacing w:before="111"/>
              <w:ind w:right="37"/>
              <w:jc w:val="right"/>
              <w:rPr>
                <w:sz w:val="18"/>
              </w:rPr>
            </w:pPr>
            <w:r>
              <w:rPr>
                <w:w w:val="95"/>
                <w:sz w:val="18"/>
              </w:rPr>
              <w:t>,7917</w:t>
            </w:r>
          </w:p>
        </w:tc>
        <w:tc>
          <w:tcPr>
            <w:tcW w:w="1432" w:type="dxa"/>
            <w:tcBorders>
              <w:left w:val="single" w:sz="8" w:space="0" w:color="000000"/>
              <w:bottom w:val="nil"/>
            </w:tcBorders>
          </w:tcPr>
          <w:p w:rsidR="004B762F" w:rsidRDefault="00D268FC">
            <w:pPr>
              <w:pStyle w:val="TableParagraph"/>
              <w:spacing w:before="111"/>
              <w:ind w:right="31"/>
              <w:jc w:val="right"/>
              <w:rPr>
                <w:sz w:val="18"/>
              </w:rPr>
            </w:pPr>
            <w:r>
              <w:rPr>
                <w:w w:val="95"/>
                <w:sz w:val="18"/>
              </w:rPr>
              <w:t>,7465</w:t>
            </w:r>
          </w:p>
        </w:tc>
        <w:tc>
          <w:tcPr>
            <w:tcW w:w="1435" w:type="dxa"/>
            <w:tcBorders>
              <w:bottom w:val="nil"/>
            </w:tcBorders>
          </w:tcPr>
          <w:p w:rsidR="004B762F" w:rsidRDefault="00D268FC">
            <w:pPr>
              <w:pStyle w:val="TableParagraph"/>
              <w:spacing w:before="111"/>
              <w:ind w:right="43"/>
              <w:jc w:val="right"/>
              <w:rPr>
                <w:sz w:val="18"/>
              </w:rPr>
            </w:pPr>
            <w:r>
              <w:rPr>
                <w:w w:val="95"/>
                <w:sz w:val="18"/>
              </w:rPr>
              <w:t>,7034</w:t>
            </w:r>
          </w:p>
        </w:tc>
        <w:tc>
          <w:tcPr>
            <w:tcW w:w="1398" w:type="dxa"/>
            <w:tcBorders>
              <w:bottom w:val="nil"/>
            </w:tcBorders>
          </w:tcPr>
          <w:p w:rsidR="004B762F" w:rsidRDefault="00D268FC">
            <w:pPr>
              <w:pStyle w:val="TableParagraph"/>
              <w:spacing w:before="111"/>
              <w:ind w:right="41"/>
              <w:jc w:val="right"/>
              <w:rPr>
                <w:sz w:val="18"/>
              </w:rPr>
            </w:pPr>
            <w:r>
              <w:rPr>
                <w:w w:val="95"/>
                <w:sz w:val="18"/>
              </w:rPr>
              <w:t>,7094</w:t>
            </w:r>
          </w:p>
        </w:tc>
      </w:tr>
      <w:tr w:rsidR="004B762F">
        <w:trPr>
          <w:trHeight w:val="300"/>
        </w:trPr>
        <w:tc>
          <w:tcPr>
            <w:tcW w:w="1358" w:type="dxa"/>
            <w:tcBorders>
              <w:top w:val="nil"/>
              <w:bottom w:val="nil"/>
            </w:tcBorders>
          </w:tcPr>
          <w:p w:rsidR="004B762F" w:rsidRDefault="00D268FC">
            <w:pPr>
              <w:pStyle w:val="TableParagraph"/>
              <w:spacing w:before="71"/>
              <w:ind w:left="75"/>
              <w:rPr>
                <w:sz w:val="18"/>
              </w:rPr>
            </w:pPr>
            <w:r>
              <w:rPr>
                <w:sz w:val="18"/>
              </w:rPr>
              <w:t>Realschule</w:t>
            </w:r>
          </w:p>
        </w:tc>
        <w:tc>
          <w:tcPr>
            <w:tcW w:w="984" w:type="dxa"/>
            <w:tcBorders>
              <w:top w:val="nil"/>
              <w:bottom w:val="nil"/>
              <w:right w:val="single" w:sz="8" w:space="0" w:color="000000"/>
            </w:tcBorders>
          </w:tcPr>
          <w:p w:rsidR="004B762F" w:rsidRDefault="00D268FC">
            <w:pPr>
              <w:pStyle w:val="TableParagraph"/>
              <w:spacing w:before="71"/>
              <w:ind w:right="35"/>
              <w:jc w:val="right"/>
              <w:rPr>
                <w:sz w:val="18"/>
              </w:rPr>
            </w:pPr>
            <w:r>
              <w:rPr>
                <w:w w:val="95"/>
                <w:sz w:val="18"/>
              </w:rPr>
              <w:t>104</w:t>
            </w:r>
          </w:p>
        </w:tc>
        <w:tc>
          <w:tcPr>
            <w:tcW w:w="1034" w:type="dxa"/>
            <w:tcBorders>
              <w:top w:val="nil"/>
              <w:left w:val="single" w:sz="8" w:space="0" w:color="000000"/>
              <w:bottom w:val="nil"/>
              <w:right w:val="single" w:sz="8" w:space="0" w:color="000000"/>
            </w:tcBorders>
          </w:tcPr>
          <w:p w:rsidR="004B762F" w:rsidRDefault="00D268FC">
            <w:pPr>
              <w:pStyle w:val="TableParagraph"/>
              <w:spacing w:before="71"/>
              <w:ind w:right="43"/>
              <w:jc w:val="right"/>
              <w:rPr>
                <w:sz w:val="18"/>
              </w:rPr>
            </w:pPr>
            <w:r>
              <w:rPr>
                <w:w w:val="95"/>
                <w:sz w:val="18"/>
              </w:rPr>
              <w:t>,6743</w:t>
            </w:r>
          </w:p>
        </w:tc>
        <w:tc>
          <w:tcPr>
            <w:tcW w:w="1430" w:type="dxa"/>
            <w:tcBorders>
              <w:top w:val="nil"/>
              <w:left w:val="single" w:sz="8" w:space="0" w:color="000000"/>
              <w:bottom w:val="nil"/>
              <w:right w:val="single" w:sz="8" w:space="0" w:color="000000"/>
            </w:tcBorders>
          </w:tcPr>
          <w:p w:rsidR="004B762F" w:rsidRDefault="00D268FC">
            <w:pPr>
              <w:pStyle w:val="TableParagraph"/>
              <w:spacing w:before="71"/>
              <w:ind w:right="39"/>
              <w:jc w:val="right"/>
              <w:rPr>
                <w:sz w:val="18"/>
              </w:rPr>
            </w:pPr>
            <w:r>
              <w:rPr>
                <w:sz w:val="18"/>
              </w:rPr>
              <w:t>,812</w:t>
            </w:r>
            <w:bookmarkStart w:id="1" w:name="_bookmark0"/>
            <w:bookmarkEnd w:id="1"/>
            <w:r>
              <w:rPr>
                <w:sz w:val="18"/>
              </w:rPr>
              <w:t>5</w:t>
            </w:r>
            <w:r>
              <w:rPr>
                <w:sz w:val="18"/>
                <w:vertAlign w:val="superscript"/>
              </w:rPr>
              <w:t>7</w:t>
            </w:r>
          </w:p>
        </w:tc>
        <w:tc>
          <w:tcPr>
            <w:tcW w:w="1432" w:type="dxa"/>
            <w:tcBorders>
              <w:top w:val="nil"/>
              <w:left w:val="single" w:sz="8" w:space="0" w:color="000000"/>
              <w:bottom w:val="nil"/>
            </w:tcBorders>
          </w:tcPr>
          <w:p w:rsidR="004B762F" w:rsidRDefault="00D268FC">
            <w:pPr>
              <w:pStyle w:val="TableParagraph"/>
              <w:spacing w:before="71"/>
              <w:ind w:right="33"/>
              <w:jc w:val="right"/>
              <w:rPr>
                <w:sz w:val="18"/>
              </w:rPr>
            </w:pPr>
            <w:r>
              <w:rPr>
                <w:w w:val="95"/>
                <w:sz w:val="18"/>
              </w:rPr>
              <w:t>,6502</w:t>
            </w:r>
          </w:p>
        </w:tc>
        <w:tc>
          <w:tcPr>
            <w:tcW w:w="1435" w:type="dxa"/>
            <w:tcBorders>
              <w:top w:val="nil"/>
              <w:bottom w:val="nil"/>
            </w:tcBorders>
          </w:tcPr>
          <w:p w:rsidR="004B762F" w:rsidRDefault="00D268FC">
            <w:pPr>
              <w:pStyle w:val="TableParagraph"/>
              <w:spacing w:before="71"/>
              <w:ind w:right="43"/>
              <w:jc w:val="right"/>
              <w:rPr>
                <w:sz w:val="18"/>
              </w:rPr>
            </w:pPr>
            <w:r>
              <w:rPr>
                <w:w w:val="95"/>
                <w:sz w:val="18"/>
              </w:rPr>
              <w:t>,7204</w:t>
            </w:r>
          </w:p>
        </w:tc>
        <w:tc>
          <w:tcPr>
            <w:tcW w:w="1398" w:type="dxa"/>
            <w:tcBorders>
              <w:top w:val="nil"/>
              <w:bottom w:val="nil"/>
            </w:tcBorders>
          </w:tcPr>
          <w:p w:rsidR="004B762F" w:rsidRDefault="00D268FC">
            <w:pPr>
              <w:pStyle w:val="TableParagraph"/>
              <w:spacing w:before="71"/>
              <w:ind w:right="40"/>
              <w:jc w:val="right"/>
              <w:rPr>
                <w:sz w:val="18"/>
              </w:rPr>
            </w:pPr>
            <w:r>
              <w:rPr>
                <w:sz w:val="18"/>
              </w:rPr>
              <w:t>,7708</w:t>
            </w:r>
            <w:hyperlink w:anchor="_bookmark0" w:history="1">
              <w:r>
                <w:rPr>
                  <w:sz w:val="18"/>
                </w:rPr>
                <w:t>7</w:t>
              </w:r>
            </w:hyperlink>
          </w:p>
        </w:tc>
      </w:tr>
      <w:tr w:rsidR="004B762F">
        <w:trPr>
          <w:trHeight w:val="357"/>
        </w:trPr>
        <w:tc>
          <w:tcPr>
            <w:tcW w:w="1358" w:type="dxa"/>
            <w:tcBorders>
              <w:top w:val="nil"/>
              <w:bottom w:val="nil"/>
            </w:tcBorders>
          </w:tcPr>
          <w:p w:rsidR="004B762F" w:rsidRDefault="00D268FC">
            <w:pPr>
              <w:pStyle w:val="TableParagraph"/>
              <w:spacing w:before="90"/>
              <w:ind w:left="75"/>
              <w:rPr>
                <w:sz w:val="18"/>
              </w:rPr>
            </w:pPr>
            <w:r>
              <w:rPr>
                <w:sz w:val="18"/>
              </w:rPr>
              <w:t>Berufsschule</w:t>
            </w:r>
          </w:p>
        </w:tc>
        <w:tc>
          <w:tcPr>
            <w:tcW w:w="984" w:type="dxa"/>
            <w:tcBorders>
              <w:top w:val="nil"/>
              <w:bottom w:val="nil"/>
              <w:right w:val="single" w:sz="8" w:space="0" w:color="000000"/>
            </w:tcBorders>
          </w:tcPr>
          <w:p w:rsidR="004B762F" w:rsidRDefault="00D268FC">
            <w:pPr>
              <w:pStyle w:val="TableParagraph"/>
              <w:spacing w:before="90"/>
              <w:ind w:right="35"/>
              <w:jc w:val="right"/>
              <w:rPr>
                <w:sz w:val="18"/>
              </w:rPr>
            </w:pPr>
            <w:r>
              <w:rPr>
                <w:w w:val="95"/>
                <w:sz w:val="18"/>
              </w:rPr>
              <w:t>57</w:t>
            </w:r>
          </w:p>
        </w:tc>
        <w:tc>
          <w:tcPr>
            <w:tcW w:w="1034" w:type="dxa"/>
            <w:tcBorders>
              <w:top w:val="nil"/>
              <w:left w:val="single" w:sz="8" w:space="0" w:color="000000"/>
              <w:bottom w:val="nil"/>
              <w:right w:val="single" w:sz="8" w:space="0" w:color="000000"/>
            </w:tcBorders>
          </w:tcPr>
          <w:p w:rsidR="004B762F" w:rsidRDefault="00D268FC">
            <w:pPr>
              <w:pStyle w:val="TableParagraph"/>
              <w:spacing w:before="90"/>
              <w:ind w:right="43"/>
              <w:jc w:val="right"/>
              <w:rPr>
                <w:sz w:val="18"/>
              </w:rPr>
            </w:pPr>
            <w:r>
              <w:rPr>
                <w:w w:val="95"/>
                <w:sz w:val="18"/>
              </w:rPr>
              <w:t>,4287</w:t>
            </w:r>
          </w:p>
        </w:tc>
        <w:tc>
          <w:tcPr>
            <w:tcW w:w="1430" w:type="dxa"/>
            <w:tcBorders>
              <w:top w:val="nil"/>
              <w:left w:val="single" w:sz="8" w:space="0" w:color="000000"/>
              <w:bottom w:val="nil"/>
              <w:right w:val="single" w:sz="8" w:space="0" w:color="000000"/>
            </w:tcBorders>
          </w:tcPr>
          <w:p w:rsidR="004B762F" w:rsidRDefault="00D268FC">
            <w:pPr>
              <w:pStyle w:val="TableParagraph"/>
              <w:spacing w:before="90"/>
              <w:ind w:right="39"/>
              <w:jc w:val="right"/>
              <w:rPr>
                <w:sz w:val="18"/>
              </w:rPr>
            </w:pPr>
            <w:r>
              <w:rPr>
                <w:sz w:val="18"/>
              </w:rPr>
              <w:t>------</w:t>
            </w:r>
          </w:p>
        </w:tc>
        <w:tc>
          <w:tcPr>
            <w:tcW w:w="1432" w:type="dxa"/>
            <w:tcBorders>
              <w:top w:val="nil"/>
              <w:left w:val="single" w:sz="8" w:space="0" w:color="000000"/>
              <w:bottom w:val="nil"/>
            </w:tcBorders>
          </w:tcPr>
          <w:p w:rsidR="004B762F" w:rsidRDefault="00D268FC">
            <w:pPr>
              <w:pStyle w:val="TableParagraph"/>
              <w:spacing w:before="18"/>
              <w:ind w:right="29"/>
              <w:jc w:val="right"/>
              <w:rPr>
                <w:sz w:val="14"/>
              </w:rPr>
            </w:pPr>
            <w:r>
              <w:rPr>
                <w:sz w:val="18"/>
              </w:rPr>
              <w:t>,0313</w:t>
            </w:r>
            <w:hyperlink w:anchor="_bookmark0" w:history="1">
              <w:r>
                <w:rPr>
                  <w:position w:val="10"/>
                  <w:sz w:val="14"/>
                </w:rPr>
                <w:t>7</w:t>
              </w:r>
            </w:hyperlink>
          </w:p>
        </w:tc>
        <w:tc>
          <w:tcPr>
            <w:tcW w:w="1435" w:type="dxa"/>
            <w:tcBorders>
              <w:top w:val="nil"/>
              <w:bottom w:val="nil"/>
            </w:tcBorders>
          </w:tcPr>
          <w:p w:rsidR="004B762F" w:rsidRDefault="00D268FC">
            <w:pPr>
              <w:pStyle w:val="TableParagraph"/>
              <w:spacing w:before="90"/>
              <w:ind w:right="43"/>
              <w:jc w:val="right"/>
              <w:rPr>
                <w:sz w:val="18"/>
              </w:rPr>
            </w:pPr>
            <w:r>
              <w:rPr>
                <w:w w:val="95"/>
                <w:sz w:val="18"/>
              </w:rPr>
              <w:t>,4375</w:t>
            </w:r>
          </w:p>
        </w:tc>
        <w:tc>
          <w:tcPr>
            <w:tcW w:w="1398" w:type="dxa"/>
            <w:tcBorders>
              <w:top w:val="nil"/>
              <w:bottom w:val="nil"/>
            </w:tcBorders>
          </w:tcPr>
          <w:p w:rsidR="004B762F" w:rsidRDefault="00D268FC">
            <w:pPr>
              <w:pStyle w:val="TableParagraph"/>
              <w:spacing w:before="90"/>
              <w:ind w:right="41"/>
              <w:jc w:val="right"/>
              <w:rPr>
                <w:sz w:val="18"/>
              </w:rPr>
            </w:pPr>
            <w:r>
              <w:rPr>
                <w:w w:val="95"/>
                <w:sz w:val="18"/>
              </w:rPr>
              <w:t>,4479</w:t>
            </w:r>
          </w:p>
        </w:tc>
      </w:tr>
      <w:tr w:rsidR="004B762F">
        <w:trPr>
          <w:trHeight w:val="260"/>
        </w:trPr>
        <w:tc>
          <w:tcPr>
            <w:tcW w:w="1358" w:type="dxa"/>
            <w:tcBorders>
              <w:top w:val="nil"/>
            </w:tcBorders>
          </w:tcPr>
          <w:p w:rsidR="004B762F" w:rsidRDefault="00D268FC">
            <w:pPr>
              <w:pStyle w:val="TableParagraph"/>
              <w:spacing w:before="54" w:line="186" w:lineRule="exact"/>
              <w:ind w:left="75"/>
              <w:rPr>
                <w:sz w:val="18"/>
              </w:rPr>
            </w:pPr>
            <w:r>
              <w:rPr>
                <w:sz w:val="18"/>
              </w:rPr>
              <w:t>Gesamt</w:t>
            </w:r>
          </w:p>
        </w:tc>
        <w:tc>
          <w:tcPr>
            <w:tcW w:w="984" w:type="dxa"/>
            <w:tcBorders>
              <w:top w:val="nil"/>
              <w:right w:val="single" w:sz="8" w:space="0" w:color="000000"/>
            </w:tcBorders>
          </w:tcPr>
          <w:p w:rsidR="004B762F" w:rsidRDefault="00D268FC">
            <w:pPr>
              <w:pStyle w:val="TableParagraph"/>
              <w:spacing w:before="54" w:line="186" w:lineRule="exact"/>
              <w:ind w:right="35"/>
              <w:jc w:val="right"/>
              <w:rPr>
                <w:sz w:val="18"/>
              </w:rPr>
            </w:pPr>
            <w:r>
              <w:rPr>
                <w:w w:val="95"/>
                <w:sz w:val="18"/>
              </w:rPr>
              <w:t>376</w:t>
            </w:r>
          </w:p>
        </w:tc>
        <w:tc>
          <w:tcPr>
            <w:tcW w:w="1034" w:type="dxa"/>
            <w:tcBorders>
              <w:top w:val="nil"/>
              <w:left w:val="single" w:sz="8" w:space="0" w:color="000000"/>
              <w:right w:val="single" w:sz="8" w:space="0" w:color="000000"/>
            </w:tcBorders>
          </w:tcPr>
          <w:p w:rsidR="004B762F" w:rsidRDefault="00D268FC">
            <w:pPr>
              <w:pStyle w:val="TableParagraph"/>
              <w:spacing w:before="54" w:line="186" w:lineRule="exact"/>
              <w:ind w:right="43"/>
              <w:jc w:val="right"/>
              <w:rPr>
                <w:sz w:val="18"/>
              </w:rPr>
            </w:pPr>
            <w:r>
              <w:rPr>
                <w:w w:val="95"/>
                <w:sz w:val="18"/>
              </w:rPr>
              <w:t>,6664</w:t>
            </w:r>
          </w:p>
        </w:tc>
        <w:tc>
          <w:tcPr>
            <w:tcW w:w="1430" w:type="dxa"/>
            <w:tcBorders>
              <w:top w:val="nil"/>
              <w:left w:val="single" w:sz="8" w:space="0" w:color="000000"/>
              <w:right w:val="single" w:sz="8" w:space="0" w:color="000000"/>
            </w:tcBorders>
          </w:tcPr>
          <w:p w:rsidR="004B762F" w:rsidRDefault="00D268FC">
            <w:pPr>
              <w:pStyle w:val="TableParagraph"/>
              <w:spacing w:before="54" w:line="186" w:lineRule="exact"/>
              <w:ind w:right="39"/>
              <w:jc w:val="right"/>
              <w:rPr>
                <w:sz w:val="18"/>
              </w:rPr>
            </w:pPr>
            <w:r>
              <w:rPr>
                <w:sz w:val="18"/>
              </w:rPr>
              <w:t>------</w:t>
            </w:r>
          </w:p>
        </w:tc>
        <w:tc>
          <w:tcPr>
            <w:tcW w:w="1432" w:type="dxa"/>
            <w:tcBorders>
              <w:top w:val="nil"/>
              <w:left w:val="single" w:sz="8" w:space="0" w:color="000000"/>
            </w:tcBorders>
          </w:tcPr>
          <w:p w:rsidR="004B762F" w:rsidRDefault="00D268FC">
            <w:pPr>
              <w:pStyle w:val="TableParagraph"/>
              <w:spacing w:before="54" w:line="186" w:lineRule="exact"/>
              <w:ind w:right="32"/>
              <w:jc w:val="right"/>
              <w:rPr>
                <w:sz w:val="18"/>
              </w:rPr>
            </w:pPr>
            <w:r>
              <w:rPr>
                <w:sz w:val="18"/>
              </w:rPr>
              <w:t>------</w:t>
            </w:r>
          </w:p>
        </w:tc>
        <w:tc>
          <w:tcPr>
            <w:tcW w:w="1435" w:type="dxa"/>
            <w:tcBorders>
              <w:top w:val="nil"/>
            </w:tcBorders>
          </w:tcPr>
          <w:p w:rsidR="004B762F" w:rsidRDefault="00D268FC">
            <w:pPr>
              <w:pStyle w:val="TableParagraph"/>
              <w:spacing w:before="54" w:line="186" w:lineRule="exact"/>
              <w:ind w:right="43"/>
              <w:jc w:val="right"/>
              <w:rPr>
                <w:sz w:val="18"/>
              </w:rPr>
            </w:pPr>
            <w:r>
              <w:rPr>
                <w:sz w:val="18"/>
              </w:rPr>
              <w:t>------</w:t>
            </w:r>
          </w:p>
        </w:tc>
        <w:tc>
          <w:tcPr>
            <w:tcW w:w="1398" w:type="dxa"/>
            <w:tcBorders>
              <w:top w:val="nil"/>
            </w:tcBorders>
          </w:tcPr>
          <w:p w:rsidR="004B762F" w:rsidRDefault="00D268FC">
            <w:pPr>
              <w:pStyle w:val="TableParagraph"/>
              <w:spacing w:before="54" w:line="186" w:lineRule="exact"/>
              <w:ind w:right="42"/>
              <w:jc w:val="right"/>
              <w:rPr>
                <w:sz w:val="18"/>
              </w:rPr>
            </w:pPr>
            <w:r>
              <w:rPr>
                <w:sz w:val="18"/>
              </w:rPr>
              <w:t>------</w:t>
            </w:r>
          </w:p>
        </w:tc>
      </w:tr>
    </w:tbl>
    <w:p w:rsidR="004B762F" w:rsidRDefault="00D268FC">
      <w:pPr>
        <w:spacing w:before="115"/>
        <w:ind w:left="218"/>
        <w:jc w:val="both"/>
        <w:rPr>
          <w:i/>
          <w:sz w:val="20"/>
        </w:rPr>
      </w:pPr>
      <w:r>
        <w:rPr>
          <w:i/>
          <w:sz w:val="20"/>
        </w:rPr>
        <w:t>Abbildung 6: Beziehung zwischen Schulform und Alter</w:t>
      </w:r>
    </w:p>
    <w:p w:rsidR="004B762F" w:rsidRDefault="004B762F">
      <w:pPr>
        <w:pStyle w:val="BodyText"/>
        <w:rPr>
          <w:i/>
        </w:rPr>
      </w:pPr>
    </w:p>
    <w:p w:rsidR="004B762F" w:rsidRDefault="004B762F">
      <w:pPr>
        <w:pStyle w:val="BodyText"/>
        <w:spacing w:before="7"/>
        <w:rPr>
          <w:i/>
          <w:sz w:val="21"/>
        </w:rPr>
      </w:pPr>
    </w:p>
    <w:p w:rsidR="004B762F" w:rsidRDefault="00D268FC">
      <w:pPr>
        <w:pStyle w:val="BodyText"/>
        <w:spacing w:before="1" w:line="360" w:lineRule="auto"/>
        <w:ind w:left="218" w:right="229"/>
        <w:jc w:val="both"/>
      </w:pPr>
      <w:r>
        <w:pict>
          <v:shape id="_x0000_s2050" style="position:absolute;left:0;text-align:left;margin-left:70.95pt;margin-top:97.95pt;width:144.05pt;height:.1pt;z-index:-251645952;mso-wrap-distance-left:0;mso-wrap-distance-right:0;mso-position-horizontal-relative:page" coordorigin="1419,1959" coordsize="2881,0" path="m1419,1959r2880,e" filled="f" strokeweight=".6pt">
            <v:path arrowok="t"/>
            <w10:wrap type="topAndBottom" anchorx="page"/>
          </v:shape>
        </w:pict>
      </w:r>
      <w:r>
        <w:t xml:space="preserve">Insgesamt gibt es einen signifikanten Zusammenhang zwischen Ψ und den jeweiligen Schul- formen. So haben im Vergleich die 15-Jährigen am Gymnasium ein 10%iges höheres Ψ als gleichaltrige Schüler an den Realschulen. Die niedrigsten Ψ – Werte verzeichnen am </w:t>
      </w:r>
      <w:r>
        <w:t>Gym- nasium die 16- und an der Realschule die 15-jährigen Schüler. Bei den 16-Jährigen gibt es insgesamt keine signifikanten Unterschiede zwischen den Schulformen.</w:t>
      </w:r>
    </w:p>
    <w:p w:rsidR="004B762F" w:rsidRDefault="00D268FC">
      <w:pPr>
        <w:spacing w:before="27"/>
        <w:ind w:left="218"/>
        <w:jc w:val="both"/>
        <w:rPr>
          <w:sz w:val="20"/>
        </w:rPr>
      </w:pPr>
      <w:r>
        <w:rPr>
          <w:position w:val="10"/>
          <w:sz w:val="13"/>
        </w:rPr>
        <w:t xml:space="preserve">7 </w:t>
      </w:r>
      <w:r>
        <w:rPr>
          <w:sz w:val="20"/>
        </w:rPr>
        <w:t>Stichprobengröße in dieser Altersklasse zu klein für signifikante Aussagen (n ≤ 5)</w:t>
      </w:r>
    </w:p>
    <w:p w:rsidR="004B762F" w:rsidRDefault="004B762F">
      <w:pPr>
        <w:jc w:val="both"/>
        <w:rPr>
          <w:sz w:val="20"/>
        </w:rPr>
        <w:sectPr w:rsidR="004B762F">
          <w:pgSz w:w="11880" w:h="16800"/>
          <w:pgMar w:top="2040" w:right="1180" w:bottom="1040" w:left="1200" w:header="1432" w:footer="840" w:gutter="0"/>
          <w:cols w:space="720"/>
        </w:sectPr>
      </w:pPr>
    </w:p>
    <w:p w:rsidR="004B762F" w:rsidRDefault="004B762F">
      <w:pPr>
        <w:pStyle w:val="BodyText"/>
        <w:spacing w:before="9"/>
        <w:rPr>
          <w:sz w:val="13"/>
        </w:rPr>
      </w:pPr>
    </w:p>
    <w:p w:rsidR="004B762F" w:rsidRDefault="00D268FC">
      <w:pPr>
        <w:pStyle w:val="BodyText"/>
        <w:spacing w:before="93" w:line="360" w:lineRule="auto"/>
        <w:ind w:left="218" w:right="230"/>
        <w:jc w:val="both"/>
      </w:pPr>
      <w:r>
        <w:t>Ein Erklärungsansatz dieser Entwicklung könnte sein, dass in der 10. Jahrgangsstufe des Gymnasiums viele Schüler von anderen Schulformen (Einführungsphase in NRW/G8) ge- wechselt sind und sich die Werte zwischen diesen beiden Schulformen angleichen. Währen</w:t>
      </w:r>
      <w:r>
        <w:t>d an den Gymnasien die Ψ – Werte bei den 14 bis 16-Jährigen abnehmen und erst bei den 17-Jährigen marginal steigen, gibt es an der Realschule eine Differenz von 0,7 zwischen den 15- und 16-Jährigen.</w:t>
      </w:r>
    </w:p>
    <w:p w:rsidR="004B762F" w:rsidRDefault="00D268FC">
      <w:pPr>
        <w:pStyle w:val="BodyText"/>
        <w:spacing w:line="360" w:lineRule="auto"/>
        <w:ind w:left="218" w:right="231"/>
        <w:jc w:val="both"/>
      </w:pPr>
      <w:r>
        <w:t>Bei den Berufsschulen bleiben die Werte insgesamt unter e</w:t>
      </w:r>
      <w:r>
        <w:t>inem Wert von 0,5 in allen Al- tersklassen und bedingen dadurch die abfallenden Werte bezogen auf das Alter in Abbil- dung 6. Zu untersuchen ist die Beziehung zwischen den Werten von Ψ und der Motivation sowie der Einstellung zu Geld, bezogen auf Schulform</w:t>
      </w:r>
      <w:r>
        <w:t xml:space="preserve"> und Alter. Hierin könnte eine mögli- che Erklärung dieser ersten Ergebnisse liegen.</w:t>
      </w:r>
    </w:p>
    <w:p w:rsidR="004B762F" w:rsidRDefault="004B762F">
      <w:pPr>
        <w:pStyle w:val="BodyText"/>
        <w:spacing w:before="10"/>
        <w:rPr>
          <w:sz w:val="32"/>
        </w:rPr>
      </w:pPr>
    </w:p>
    <w:p w:rsidR="004B762F" w:rsidRDefault="00D268FC">
      <w:pPr>
        <w:pStyle w:val="Heading1"/>
        <w:numPr>
          <w:ilvl w:val="0"/>
          <w:numId w:val="1"/>
        </w:numPr>
        <w:tabs>
          <w:tab w:val="left" w:pos="651"/>
        </w:tabs>
        <w:ind w:hanging="433"/>
        <w:jc w:val="both"/>
      </w:pPr>
      <w:r>
        <w:t>Fazit</w:t>
      </w:r>
    </w:p>
    <w:p w:rsidR="004B762F" w:rsidRDefault="00D268FC">
      <w:pPr>
        <w:pStyle w:val="BodyText"/>
        <w:spacing w:before="151" w:line="360" w:lineRule="auto"/>
        <w:ind w:left="218" w:right="230"/>
        <w:jc w:val="both"/>
      </w:pPr>
      <w:r>
        <w:t>Die Diskussion um eine financial literacy steht trotz der vielen Studien noch am Anfang, da ein einheitliches Verständnis für eine valide Erhebung noch nicht absehb</w:t>
      </w:r>
      <w:r>
        <w:t xml:space="preserve">ar ist. Wichtige Fa- cetten, </w:t>
      </w:r>
      <w:r>
        <w:rPr>
          <w:spacing w:val="-2"/>
        </w:rPr>
        <w:t xml:space="preserve">wie </w:t>
      </w:r>
      <w:r>
        <w:t>z. B. der Umgang mit Online-Rechnern zur eigenen Information und Risikovor- sorge, sind bis jetzt noch nicht berücksichtigt worden und können erstmals in FILS gemes- sen werden. Die Itemanalyse und die Auswertungen von Ψ al</w:t>
      </w:r>
      <w:r>
        <w:t>s Variable haben gezeigt, dass die Erhebung handlungsbasierter Daten notwendig und weiterführend ist, um financial literacy in allen Facetten zu</w:t>
      </w:r>
      <w:r>
        <w:rPr>
          <w:spacing w:val="-8"/>
        </w:rPr>
        <w:t xml:space="preserve"> </w:t>
      </w:r>
      <w:r>
        <w:t>erfassen.</w:t>
      </w:r>
    </w:p>
    <w:p w:rsidR="004B762F" w:rsidRDefault="004B762F">
      <w:pPr>
        <w:pStyle w:val="BodyText"/>
        <w:spacing w:before="11"/>
        <w:rPr>
          <w:sz w:val="32"/>
        </w:rPr>
      </w:pPr>
    </w:p>
    <w:p w:rsidR="004B762F" w:rsidRDefault="00D268FC">
      <w:pPr>
        <w:pStyle w:val="Heading1"/>
        <w:ind w:left="218" w:firstLine="0"/>
        <w:jc w:val="left"/>
      </w:pPr>
      <w:r>
        <w:t>Literaturverzeichnis</w:t>
      </w:r>
    </w:p>
    <w:p w:rsidR="004B762F" w:rsidRDefault="00D268FC">
      <w:pPr>
        <w:pStyle w:val="BodyText"/>
        <w:spacing w:before="151"/>
        <w:ind w:left="643" w:right="359" w:hanging="425"/>
      </w:pPr>
      <w:r>
        <w:t xml:space="preserve">Aprea, C. (2012): Messung der Befähigung zum Umgang mit Geld und Finanzthemen: Aus- gewählte Instrumente und alternative diagnostische Zugänge. In: Berufs-und Wirt- schaftspädagogik online, bwp@ Nr.22. Online: </w:t>
      </w:r>
      <w:hyperlink r:id="rId10">
        <w:r>
          <w:t xml:space="preserve">http://www.bwpat.de/ausgabe22/aprea_bwpat22.pdf </w:t>
        </w:r>
      </w:hyperlink>
      <w:r>
        <w:t>(30.08.12).</w:t>
      </w:r>
    </w:p>
    <w:p w:rsidR="004B762F" w:rsidRDefault="00D268FC">
      <w:pPr>
        <w:pStyle w:val="BodyText"/>
        <w:spacing w:before="119"/>
        <w:ind w:left="643" w:right="436" w:hanging="425"/>
      </w:pPr>
      <w:r>
        <w:t xml:space="preserve">Autralian Ministerial Council on Education, Employment Training and Youth Affairs (2006): National Consumer and Financial Literacy Framework. Online: </w:t>
      </w:r>
      <w:hyperlink r:id="rId11">
        <w:r>
          <w:t xml:space="preserve">www.mceetya.edu.au/verve/_resources/Financial_Literacy_Framework.pdf </w:t>
        </w:r>
      </w:hyperlink>
      <w:r>
        <w:t>(30.08.12).</w:t>
      </w:r>
    </w:p>
    <w:p w:rsidR="004B762F" w:rsidRDefault="00D268FC">
      <w:pPr>
        <w:pStyle w:val="BodyText"/>
        <w:spacing w:before="122"/>
        <w:ind w:left="643" w:right="277" w:hanging="425"/>
      </w:pPr>
      <w:r>
        <w:t>Barry, D., Breuer K. (im Druck) (2012): Die Einstellung zu Geld bei Jugendlichen und jungen Erwachsenen –</w:t>
      </w:r>
      <w:r>
        <w:t xml:space="preserve"> Entwicklung eines Instruments in deutscher Sprache. In: Discussion pa- per number 1202. (Hg.): Gesellschaftliche Teilhabe trotz Schulden, C. W. Hergenröder, Wiesbaden. Online: </w:t>
      </w:r>
      <w:hyperlink r:id="rId12">
        <w:r>
          <w:t>http://wiwi.uni</w:t>
        </w:r>
        <w:r>
          <w:t xml:space="preserve">-mainz.de/Dateien/DP_1202.pdf </w:t>
        </w:r>
      </w:hyperlink>
      <w:r>
        <w:t>(30.08.12).</w:t>
      </w:r>
    </w:p>
    <w:p w:rsidR="004B762F" w:rsidRDefault="00D268FC">
      <w:pPr>
        <w:pStyle w:val="BodyText"/>
        <w:spacing w:before="119"/>
        <w:ind w:left="218"/>
      </w:pPr>
      <w:r>
        <w:t>Barton, D., Hamilton, M. (2000): Local Literacies. Reading and Writing in One Community.</w:t>
      </w:r>
    </w:p>
    <w:p w:rsidR="004B762F" w:rsidRDefault="00D268FC">
      <w:pPr>
        <w:pStyle w:val="BodyText"/>
        <w:spacing w:before="1"/>
        <w:ind w:left="643"/>
      </w:pPr>
      <w:r>
        <w:t>London/New York: Routledge.</w:t>
      </w:r>
    </w:p>
    <w:p w:rsidR="004B762F" w:rsidRDefault="00D268FC">
      <w:pPr>
        <w:pStyle w:val="BodyText"/>
        <w:spacing w:before="119"/>
        <w:ind w:left="643" w:right="310" w:hanging="425"/>
      </w:pPr>
      <w:r>
        <w:t>Basic Skills Agency (1993): Parents and their schildren. The Intergenerational Effect of Poor Basic Skills, London, Adult Literacy and Basic Skills Unit.</w:t>
      </w:r>
    </w:p>
    <w:p w:rsidR="004B762F" w:rsidRDefault="004B762F">
      <w:pPr>
        <w:sectPr w:rsidR="004B762F">
          <w:pgSz w:w="11880" w:h="16800"/>
          <w:pgMar w:top="2040" w:right="1180" w:bottom="1040" w:left="1200" w:header="1432" w:footer="840" w:gutter="0"/>
          <w:cols w:space="720"/>
        </w:sectPr>
      </w:pPr>
    </w:p>
    <w:p w:rsidR="004B762F" w:rsidRDefault="004B762F">
      <w:pPr>
        <w:pStyle w:val="BodyText"/>
        <w:spacing w:before="9"/>
        <w:rPr>
          <w:sz w:val="13"/>
        </w:rPr>
      </w:pPr>
    </w:p>
    <w:p w:rsidR="004B762F" w:rsidRDefault="00D268FC">
      <w:pPr>
        <w:pStyle w:val="BodyText"/>
        <w:spacing w:before="93"/>
        <w:ind w:left="218"/>
      </w:pPr>
      <w:r>
        <w:t>Baur, N., Fromm, S. (2008): Datenanalyse mit SPSS für Fortgeschrittene, Berlin: Spr</w:t>
      </w:r>
      <w:r>
        <w:t>inger.</w:t>
      </w:r>
    </w:p>
    <w:p w:rsidR="004B762F" w:rsidRDefault="00D268FC">
      <w:pPr>
        <w:pStyle w:val="BodyText"/>
        <w:spacing w:before="119"/>
        <w:ind w:left="643" w:right="432" w:hanging="425"/>
      </w:pPr>
      <w:r>
        <w:t>BDA (Bundesvereinigung der Deutschen Arbeitgeberverbände) (1998): Mehr ökonomische Bildung in der Schule – Memorandum der unternehmerischen Wirtschaft zur ökonomi- schen Bildung im allgemeinbildenden Schulwesen. Online: www.sowi- online.de/reader/oe</w:t>
      </w:r>
      <w:r>
        <w:t>konomie/bda_memo.htm (30.08.12).</w:t>
      </w:r>
    </w:p>
    <w:p w:rsidR="004B762F" w:rsidRDefault="00D268FC">
      <w:pPr>
        <w:pStyle w:val="BodyText"/>
        <w:spacing w:before="121"/>
        <w:ind w:left="643" w:right="287" w:hanging="425"/>
      </w:pPr>
      <w:r>
        <w:t>Bright, I., Keller, R. (2012): Overview of ING International Survey results on financial compe- tence Graphical illustrations of notable differences, ING DiBa.</w:t>
      </w:r>
    </w:p>
    <w:p w:rsidR="004B762F" w:rsidRDefault="00D268FC">
      <w:pPr>
        <w:pStyle w:val="BodyText"/>
        <w:spacing w:before="121"/>
        <w:ind w:left="643" w:right="395" w:hanging="425"/>
      </w:pPr>
      <w:r>
        <w:t>Bühner, M. (2006): Einführung in die Test- und Fragebogenkonstr</w:t>
      </w:r>
      <w:r>
        <w:t>uktion, 2. Aufl., München: Don Mills: Pearson Studium.</w:t>
      </w:r>
    </w:p>
    <w:p w:rsidR="004B762F" w:rsidRDefault="00D268FC">
      <w:pPr>
        <w:pStyle w:val="BodyText"/>
        <w:spacing w:before="118"/>
        <w:ind w:left="218"/>
      </w:pPr>
      <w:r>
        <w:t>Chomsky, N. (1965): Aspects of the Theory of Syntax, Massachusetts.</w:t>
      </w:r>
    </w:p>
    <w:p w:rsidR="004B762F" w:rsidRDefault="00D268FC">
      <w:pPr>
        <w:pStyle w:val="BodyText"/>
        <w:spacing w:before="122" w:line="252" w:lineRule="exact"/>
        <w:ind w:left="218"/>
      </w:pPr>
      <w:r>
        <w:t>Cortina, J. M. (1993): What is Coefficient Alpha? An Examination of Theory and Applications.</w:t>
      </w:r>
    </w:p>
    <w:p w:rsidR="004B762F" w:rsidRDefault="00D268FC">
      <w:pPr>
        <w:pStyle w:val="BodyText"/>
        <w:ind w:left="643" w:right="789"/>
      </w:pPr>
      <w:r>
        <w:t>In: Journal of Applied Psychology, Bd 78</w:t>
      </w:r>
      <w:r>
        <w:t xml:space="preserve">, Nr. 1, 98ff. Online: </w:t>
      </w:r>
      <w:hyperlink r:id="rId13">
        <w:r>
          <w:t xml:space="preserve">http://psychweb.psy.umt.edu/denis/datadecision/front/cortina_alpha.pdf </w:t>
        </w:r>
      </w:hyperlink>
      <w:r>
        <w:t>(30.08.12).</w:t>
      </w:r>
    </w:p>
    <w:p w:rsidR="004B762F" w:rsidRDefault="00D268FC">
      <w:pPr>
        <w:pStyle w:val="BodyText"/>
        <w:spacing w:before="120"/>
        <w:ind w:left="218"/>
      </w:pPr>
      <w:r>
        <w:t>Disney, R., Gathergood, J. (2011): FINANCIAL LITERACY AND IN</w:t>
      </w:r>
      <w:r>
        <w:t>DEBTEDNESS: NEW</w:t>
      </w:r>
    </w:p>
    <w:p w:rsidR="004B762F" w:rsidRDefault="00D268FC">
      <w:pPr>
        <w:pStyle w:val="BodyText"/>
        <w:spacing w:before="1"/>
        <w:ind w:left="643" w:right="3291"/>
      </w:pPr>
      <w:r>
        <w:t xml:space="preserve">EVIDENCE FOR UK CONSUMERS. Online: </w:t>
      </w:r>
      <w:hyperlink r:id="rId14">
        <w:r>
          <w:t>http://driver-</w:t>
        </w:r>
      </w:hyperlink>
      <w:r>
        <w:t xml:space="preserve"> support.eu/cfcm/documents/papers/11-05.pdf (30.08.12).</w:t>
      </w:r>
    </w:p>
    <w:p w:rsidR="004B762F" w:rsidRDefault="00D268FC">
      <w:pPr>
        <w:pStyle w:val="BodyText"/>
        <w:spacing w:before="118"/>
        <w:ind w:left="218"/>
      </w:pPr>
      <w:r>
        <w:t>Frankfurter Allgemeine Zeitung (2012): Krankenpolicen nur für mündige Verbraucher, Nr.</w:t>
      </w:r>
    </w:p>
    <w:p w:rsidR="004B762F" w:rsidRDefault="00D268FC">
      <w:pPr>
        <w:pStyle w:val="BodyText"/>
        <w:spacing w:before="2"/>
        <w:ind w:left="643"/>
      </w:pPr>
      <w:r>
        <w:t>165, 17, (18.07.2012).</w:t>
      </w:r>
    </w:p>
    <w:p w:rsidR="004B762F" w:rsidRDefault="00D268FC">
      <w:pPr>
        <w:pStyle w:val="BodyText"/>
        <w:spacing w:before="119"/>
        <w:ind w:left="643" w:right="849" w:hanging="425"/>
      </w:pPr>
      <w:r>
        <w:t xml:space="preserve">FTE (Foundation for Teaching Economics) (2005): Annual Report. Online: </w:t>
      </w:r>
      <w:hyperlink r:id="rId15">
        <w:r>
          <w:t>www.fte.org</w:t>
        </w:r>
      </w:hyperlink>
      <w:r>
        <w:t xml:space="preserve"> (30.08.12).</w:t>
      </w:r>
    </w:p>
    <w:p w:rsidR="004B762F" w:rsidRDefault="00D268FC">
      <w:pPr>
        <w:pStyle w:val="BodyText"/>
        <w:spacing w:before="120"/>
        <w:ind w:left="643" w:right="1240" w:hanging="425"/>
      </w:pPr>
      <w:r>
        <w:t>Furnham, A. (1984): Many Sides of the Coin. The Psychology of Money Usage. In: Personality and Indi</w:t>
      </w:r>
      <w:r>
        <w:t>vidual Difference, 5, 5, 501-509.</w:t>
      </w:r>
    </w:p>
    <w:p w:rsidR="004B762F" w:rsidRDefault="00D268FC">
      <w:pPr>
        <w:pStyle w:val="BodyText"/>
        <w:spacing w:before="120"/>
        <w:ind w:left="643" w:right="276" w:hanging="425"/>
        <w:jc w:val="both"/>
      </w:pPr>
      <w:r>
        <w:t xml:space="preserve">Gemeinsame Initiative von Eltern, Lehrern, Wissenschaft, Arbeitgebern und Gewerkschaften (2000): Memorandum. Wirtschaft – notwendig für die schulische Allgemeinbildung. Onli- ne: </w:t>
      </w:r>
      <w:hyperlink r:id="rId16">
        <w:r>
          <w:t xml:space="preserve">www.sowi-online.de/reader/oekonomie/dgb_bda.htm </w:t>
        </w:r>
      </w:hyperlink>
      <w:r>
        <w:t>(30.08.12).</w:t>
      </w:r>
    </w:p>
    <w:p w:rsidR="004B762F" w:rsidRDefault="00D268FC">
      <w:pPr>
        <w:pStyle w:val="BodyText"/>
        <w:spacing w:before="120"/>
        <w:ind w:left="643" w:right="592" w:hanging="425"/>
      </w:pPr>
      <w:r>
        <w:t>Geradi, K., Goette, L., Meier, S. (2010): Financial Literacy and Subprime Mortgage Delin- quency: Evidence from a Survey Matched to Administrative Data.</w:t>
      </w:r>
    </w:p>
    <w:p w:rsidR="004B762F" w:rsidRDefault="00D268FC">
      <w:pPr>
        <w:pStyle w:val="BodyText"/>
        <w:spacing w:before="121"/>
        <w:ind w:left="643" w:right="225" w:hanging="425"/>
      </w:pPr>
      <w:r>
        <w:t>Gnam, E., Si</w:t>
      </w:r>
      <w:r>
        <w:t>lgoner, M. A., Weber, B. (2007): Volkswirtschafts- und Finanzbildung: Konzepte, Ziele, Messung. In: Geldpolitik und Wirtschaft, 3. Quartal, 30-52.</w:t>
      </w:r>
    </w:p>
    <w:p w:rsidR="004B762F" w:rsidRDefault="00D268FC">
      <w:pPr>
        <w:pStyle w:val="BodyText"/>
        <w:spacing w:before="120"/>
        <w:ind w:left="643" w:right="313" w:hanging="425"/>
      </w:pPr>
      <w:r>
        <w:t>Grotlüschen, A., Riekmann, W. (2011): Konservative Entscheidungen. Größenordnung des funktionalen Analphabeti</w:t>
      </w:r>
      <w:r>
        <w:t>smus in Deutschland. In: Report. Zeitschrift für Weiterbildungs- forschung, 34. Jg., Hf. 3, 24-35.</w:t>
      </w:r>
    </w:p>
    <w:p w:rsidR="004B762F" w:rsidRDefault="00D268FC">
      <w:pPr>
        <w:pStyle w:val="BodyText"/>
        <w:spacing w:before="3" w:line="370" w:lineRule="atLeast"/>
        <w:ind w:left="218"/>
      </w:pPr>
      <w:r>
        <w:t>Häcker, K. (2007): Mit Geld richtig umgehen. In: Wirtschaft und Unterricht, 1/2007, Köln. Handelsblatt (2004): Viele Deutsche sind Finanz-Analphabeten, 22.07</w:t>
      </w:r>
      <w:r>
        <w:t>.2004. Online:</w:t>
      </w:r>
    </w:p>
    <w:p w:rsidR="004B762F" w:rsidRDefault="00D268FC">
      <w:pPr>
        <w:pStyle w:val="BodyText"/>
        <w:spacing w:before="3"/>
        <w:ind w:left="643" w:right="1585"/>
      </w:pPr>
      <w:hyperlink r:id="rId17">
        <w:r>
          <w:t>http://www.handelsblatt.com/finanzen/vorsorge/viele-deutsche-sind-finanz-</w:t>
        </w:r>
      </w:hyperlink>
      <w:r>
        <w:t xml:space="preserve"> analphabeten;765686 (13.04. 2010).</w:t>
      </w:r>
    </w:p>
    <w:p w:rsidR="004B762F" w:rsidRDefault="00D268FC">
      <w:pPr>
        <w:pStyle w:val="BodyText"/>
        <w:spacing w:before="121"/>
        <w:ind w:left="643" w:right="558" w:hanging="425"/>
      </w:pPr>
      <w:r>
        <w:t>Hartig, J., Klieme, E. (2007): Möglichk</w:t>
      </w:r>
      <w:r>
        <w:t>eiten und Voraussetzungen technologiebasierter Kompetenzdiagnostik. Eine Expertise im Auftrag des Bundesministeriums für Bildung und Forschung, Berlin.</w:t>
      </w:r>
    </w:p>
    <w:p w:rsidR="004B762F" w:rsidRDefault="00D268FC">
      <w:pPr>
        <w:pStyle w:val="BodyText"/>
        <w:spacing w:before="120"/>
        <w:ind w:left="218"/>
      </w:pPr>
      <w:r>
        <w:t xml:space="preserve">Health and Retirement Study 2004: Online: </w:t>
      </w:r>
      <w:hyperlink r:id="rId18">
        <w:r>
          <w:t xml:space="preserve">http://hrsonline.isr.umich.edu/ </w:t>
        </w:r>
      </w:hyperlink>
      <w:r>
        <w:t>(30.08.2012).</w:t>
      </w:r>
    </w:p>
    <w:p w:rsidR="004B762F" w:rsidRDefault="004B762F">
      <w:pPr>
        <w:sectPr w:rsidR="004B762F">
          <w:pgSz w:w="11880" w:h="16800"/>
          <w:pgMar w:top="2040" w:right="1180" w:bottom="1040" w:left="1200" w:header="1432" w:footer="840" w:gutter="0"/>
          <w:cols w:space="720"/>
        </w:sectPr>
      </w:pPr>
    </w:p>
    <w:p w:rsidR="004B762F" w:rsidRDefault="004B762F">
      <w:pPr>
        <w:pStyle w:val="BodyText"/>
        <w:spacing w:before="9"/>
        <w:rPr>
          <w:sz w:val="13"/>
        </w:rPr>
      </w:pPr>
    </w:p>
    <w:p w:rsidR="004B762F" w:rsidRDefault="00D268FC">
      <w:pPr>
        <w:pStyle w:val="BodyText"/>
        <w:spacing w:before="93"/>
        <w:ind w:left="643" w:right="423" w:hanging="425"/>
      </w:pPr>
      <w:r>
        <w:t>Jung, E. (2006): Möglichkeiten der Überprüfung von Kompetenzmodellen in der ökonomi- schen Bildung. In: Weitz, B. O. (Hg.): Kompetenzentwicklung, -förderung und –prüfung in der ökonomischen B</w:t>
      </w:r>
      <w:r>
        <w:t>ildung. In: Wirtschafts- und Berufspädagogische Schriften der Deutschen Gesellschaft für ökonomische Bildung, Bd. 33, Bergisch Gladbach, 33-60.</w:t>
      </w:r>
    </w:p>
    <w:p w:rsidR="004B762F" w:rsidRDefault="00D268FC">
      <w:pPr>
        <w:pStyle w:val="BodyText"/>
        <w:spacing w:before="119"/>
        <w:ind w:left="643" w:right="313" w:hanging="425"/>
      </w:pPr>
      <w:r>
        <w:t>Jung, E. (2009): Kompetenzmodelle und Bildungsstandards zur ökonomischen Bildung vor dem Hintergrund der Experti</w:t>
      </w:r>
      <w:r>
        <w:t>se „Zur Entwicklung nationaler Bildungsstandards“ – Replik und Ansätze zur weiteren Diskussion. In: Theuerkauf, W. E., Meschenmoser, H., Meier, B., Zöllner, H. (Hg.): Qualität technischer Bildung: Zur Entwicklung von Kompetenzmo- dellen und Kompetenzdiagno</w:t>
      </w:r>
      <w:r>
        <w:t>stik, Berlin, 195-209. Online: http://www.uni- potsdam.de/u/al/forsch/download/WocateQualitaetTechnischerBildung2009.pdf (29.08.</w:t>
      </w:r>
    </w:p>
    <w:p w:rsidR="004B762F" w:rsidRDefault="00D268FC">
      <w:pPr>
        <w:pStyle w:val="BodyText"/>
        <w:spacing w:before="1"/>
        <w:ind w:left="643"/>
      </w:pPr>
      <w:r>
        <w:t>2012).</w:t>
      </w:r>
    </w:p>
    <w:p w:rsidR="004B762F" w:rsidRDefault="00D268FC">
      <w:pPr>
        <w:pStyle w:val="BodyText"/>
        <w:spacing w:before="119"/>
        <w:ind w:left="643" w:right="250" w:hanging="425"/>
      </w:pPr>
      <w:r>
        <w:t>Kaminski, H., Friebel, S. (2012): Arbeitspapier „Finanzielle Allgemeinbildung als Bestandteil der ökonomischen Bildung“.</w:t>
      </w:r>
      <w:r>
        <w:t xml:space="preserve"> Online: </w:t>
      </w:r>
      <w:hyperlink r:id="rId19">
        <w:r>
          <w:t>http://www.ioeb.de/sites/default/files/img/Arbeitspapier_Finanzielle%20Allgemeinbildung</w:t>
        </w:r>
      </w:hyperlink>
    </w:p>
    <w:p w:rsidR="004B762F" w:rsidRDefault="00D268FC">
      <w:pPr>
        <w:pStyle w:val="BodyText"/>
        <w:spacing w:before="3"/>
        <w:ind w:left="643"/>
      </w:pPr>
      <w:r>
        <w:t>_Juli_2012.pdf (30.08.12).</w:t>
      </w:r>
    </w:p>
    <w:p w:rsidR="004B762F" w:rsidRDefault="00D268FC">
      <w:pPr>
        <w:pStyle w:val="BodyText"/>
        <w:spacing w:before="119"/>
        <w:ind w:left="643" w:right="384" w:hanging="425"/>
      </w:pPr>
      <w:r>
        <w:t>Klieme, E. (2004): Was si</w:t>
      </w:r>
      <w:r>
        <w:t>nd Kompetenzen und wie lassen sie sich messen? In: Pädagogik, 6, 0-13.</w:t>
      </w:r>
    </w:p>
    <w:p w:rsidR="004B762F" w:rsidRDefault="00D268FC">
      <w:pPr>
        <w:pStyle w:val="BodyText"/>
        <w:spacing w:before="120"/>
        <w:ind w:left="643" w:right="250" w:hanging="425"/>
      </w:pPr>
      <w:r>
        <w:t>Krotsch, S., Locher, C. (2012): Banking News – Datenbasiertes Multikanal-Marketing: Signa- le für den Vertrieb. In: Bank-Zeitschrift für Bankpolitik und Bankpraxis, (11), 30.</w:t>
      </w:r>
    </w:p>
    <w:p w:rsidR="004B762F" w:rsidRDefault="00D268FC">
      <w:pPr>
        <w:pStyle w:val="BodyText"/>
        <w:spacing w:before="120"/>
        <w:ind w:left="643" w:right="224" w:hanging="425"/>
      </w:pPr>
      <w:r>
        <w:t>Leinert, J</w:t>
      </w:r>
      <w:r>
        <w:t>. (2004): Finanzieller Analphabetismus in Deutschland: Schlechte Voraussetzungen für eigenverantwortliche Vorsorge. In: Gesundheits- und Sozialpolitik, Jg. 58, Hf. 3-4,</w:t>
      </w:r>
    </w:p>
    <w:p w:rsidR="004B762F" w:rsidRDefault="00D268FC">
      <w:pPr>
        <w:pStyle w:val="BodyText"/>
        <w:spacing w:line="251" w:lineRule="exact"/>
        <w:ind w:left="643"/>
      </w:pPr>
      <w:r>
        <w:t>24-30.</w:t>
      </w:r>
    </w:p>
    <w:p w:rsidR="004B762F" w:rsidRDefault="00D268FC">
      <w:pPr>
        <w:pStyle w:val="BodyText"/>
        <w:spacing w:before="122"/>
        <w:ind w:left="643" w:right="436" w:hanging="425"/>
      </w:pPr>
      <w:r>
        <w:t xml:space="preserve">Lusardi, A., Mitchel O. S. (2011): Financial Literacy around the World: An Overview. In: NBER Working Paper Series (National Bureau of Economic Research), working Paper 17107. Online: </w:t>
      </w:r>
      <w:hyperlink r:id="rId20">
        <w:r>
          <w:t>http://www.nber.org</w:t>
        </w:r>
        <w:r>
          <w:t xml:space="preserve">/papers/w17107 </w:t>
        </w:r>
      </w:hyperlink>
      <w:r>
        <w:t>(29.08.012).</w:t>
      </w:r>
    </w:p>
    <w:p w:rsidR="004B762F" w:rsidRDefault="00D268FC">
      <w:pPr>
        <w:pStyle w:val="BodyText"/>
        <w:spacing w:before="120"/>
        <w:ind w:left="643" w:right="335" w:hanging="425"/>
      </w:pPr>
      <w:r>
        <w:t>Macha, K., Schuhen, M. (2013): ECOS – ein unter Gendergesichtspunkten fairer Test allge- meiner ökonomischer Kompetenzen. In: Retzmann, T. (Hg.): Ökonomische Allgemein- bildung in der Sekundarstufe II, Bad Schwalbach, 140-152.</w:t>
      </w:r>
    </w:p>
    <w:p w:rsidR="004B762F" w:rsidRDefault="00D268FC">
      <w:pPr>
        <w:pStyle w:val="BodyText"/>
        <w:spacing w:before="119"/>
        <w:ind w:left="643" w:right="241" w:hanging="425"/>
      </w:pPr>
      <w:r>
        <w:t>M</w:t>
      </w:r>
      <w:r>
        <w:t xml:space="preserve">acha, K., Schuhen, M. (2012a): Modellierung ökonomischer Kompetenz im Rahmen der Pilotstudie zu ECOS – Economic Competencies Study. In: Bayrhuber, H., Harms, U., Muszynski, B., Ralle, B., Rothgangel, M., Schön, L.-H., Vollmer, H.-J., Weigand, H.-G. (Hg.): </w:t>
      </w:r>
      <w:r>
        <w:t>Formate Fachdidaktischer Forschung. Empirische Projekte – historische Analysen</w:t>
      </w:r>
    </w:p>
    <w:p w:rsidR="004B762F" w:rsidRDefault="00D268FC">
      <w:pPr>
        <w:pStyle w:val="BodyText"/>
        <w:spacing w:before="1"/>
        <w:ind w:left="643" w:right="765"/>
      </w:pPr>
      <w:r>
        <w:t>– theoretische Grundlegungen, Fachdidaktische Forschungen, Bd. 2, Münster/New York/München/Berlin: Waxmann, 183-200.</w:t>
      </w:r>
    </w:p>
    <w:p w:rsidR="004B762F" w:rsidRDefault="00D268FC">
      <w:pPr>
        <w:pStyle w:val="BodyText"/>
        <w:spacing w:before="121"/>
        <w:ind w:left="643" w:right="396" w:hanging="425"/>
      </w:pPr>
      <w:r>
        <w:t>Macha, K., Schuhen, M. (2012b): Kompetenzmessung in der Domä</w:t>
      </w:r>
      <w:r>
        <w:t>ne Ökonomie. In: Schu- hen, M., Wohlgemuth, M., Müller, C. (Hg.) (2012): Ökonomische Bildung und Wirt- schaftsordnung, Stuttgart: Lucius&amp;Lucius, 125-138.</w:t>
      </w:r>
    </w:p>
    <w:p w:rsidR="004B762F" w:rsidRDefault="00D268FC">
      <w:pPr>
        <w:pStyle w:val="BodyText"/>
        <w:spacing w:before="119"/>
        <w:ind w:left="643" w:right="619" w:hanging="425"/>
      </w:pPr>
      <w:r>
        <w:t>Macha, K., Schuhen, M. (2011a): Framework for Measuring Economic Competencies. In: Journal of Social S</w:t>
      </w:r>
      <w:r>
        <w:t xml:space="preserve">cience Education, 3/2011, 26-45. Online: </w:t>
      </w:r>
      <w:hyperlink r:id="rId21">
        <w:r>
          <w:t>http://www.jsse.org/2011/2011-3/pdf/schuhen-macha-jsse-3-2011.pdf.</w:t>
        </w:r>
      </w:hyperlink>
    </w:p>
    <w:p w:rsidR="004B762F" w:rsidRDefault="00D268FC">
      <w:pPr>
        <w:pStyle w:val="BodyText"/>
        <w:spacing w:before="120"/>
        <w:ind w:left="643" w:right="264" w:hanging="425"/>
      </w:pPr>
      <w:r>
        <w:t>Macha, K., Schuhen, M. (2011b): Modellierung ökonomischer Kompe</w:t>
      </w:r>
      <w:r>
        <w:t xml:space="preserve">tenz in einer Pilotstudie zu ECOS. In: Siegener Beiträge zur Ökonomischen Bildung, 2/2011. Online: </w:t>
      </w:r>
      <w:hyperlink r:id="rId22">
        <w:r>
          <w:t>http://dokumentix.ub.uni-</w:t>
        </w:r>
      </w:hyperlink>
      <w:r>
        <w:t xml:space="preserve"> siegen.de/opus/volltexte/2012/599/pdf/Modellierung_oekonomischer_kompetenz.pdf.</w:t>
      </w:r>
    </w:p>
    <w:p w:rsidR="004B762F" w:rsidRDefault="004B762F">
      <w:pPr>
        <w:sectPr w:rsidR="004B762F">
          <w:pgSz w:w="11880" w:h="16800"/>
          <w:pgMar w:top="2040" w:right="1180" w:bottom="1040" w:left="1200" w:header="1432" w:footer="840" w:gutter="0"/>
          <w:cols w:space="720"/>
        </w:sectPr>
      </w:pPr>
    </w:p>
    <w:p w:rsidR="004B762F" w:rsidRDefault="004B762F">
      <w:pPr>
        <w:pStyle w:val="BodyText"/>
        <w:spacing w:before="9"/>
        <w:rPr>
          <w:sz w:val="13"/>
        </w:rPr>
      </w:pPr>
    </w:p>
    <w:p w:rsidR="004B762F" w:rsidRDefault="00D268FC">
      <w:pPr>
        <w:pStyle w:val="BodyText"/>
        <w:spacing w:before="93"/>
        <w:ind w:left="643" w:right="591" w:hanging="425"/>
      </w:pPr>
      <w:r>
        <w:t>Mandell, L. (2008): The Financial Literacy of Young American Adults. Results of the 2008 National Jump$tart Coalition Survey of High School Seniors and College Students.</w:t>
      </w:r>
    </w:p>
    <w:p w:rsidR="004B762F" w:rsidRDefault="00D268FC">
      <w:pPr>
        <w:pStyle w:val="BodyText"/>
        <w:spacing w:before="1"/>
        <w:ind w:left="643"/>
      </w:pPr>
      <w:r>
        <w:t xml:space="preserve">Online: </w:t>
      </w:r>
      <w:hyperlink r:id="rId23">
        <w:r>
          <w:t xml:space="preserve">http://www.jumpstart.org/assets/files/2008SurveyBook.pdf </w:t>
        </w:r>
      </w:hyperlink>
      <w:r>
        <w:t>(30.08.2012).</w:t>
      </w:r>
    </w:p>
    <w:p w:rsidR="004B762F" w:rsidRDefault="00D268FC">
      <w:pPr>
        <w:pStyle w:val="BodyText"/>
        <w:spacing w:before="119" w:line="252" w:lineRule="exact"/>
        <w:ind w:left="218"/>
      </w:pPr>
      <w:r>
        <w:t>NCEE (National Council on Economic Education) (o. J.): Campaign for Economic Literacy.</w:t>
      </w:r>
    </w:p>
    <w:p w:rsidR="004B762F" w:rsidRDefault="00D268FC">
      <w:pPr>
        <w:pStyle w:val="BodyText"/>
        <w:spacing w:line="252" w:lineRule="exact"/>
        <w:ind w:left="643"/>
      </w:pPr>
      <w:r>
        <w:t xml:space="preserve">Online: </w:t>
      </w:r>
      <w:hyperlink r:id="rId24">
        <w:r>
          <w:t xml:space="preserve">www.ncee.net/ </w:t>
        </w:r>
      </w:hyperlink>
      <w:r>
        <w:t>(30.08.12).</w:t>
      </w:r>
    </w:p>
    <w:p w:rsidR="004B762F" w:rsidRDefault="00D268FC">
      <w:pPr>
        <w:pStyle w:val="BodyText"/>
        <w:spacing w:before="121"/>
        <w:ind w:left="643" w:right="592" w:hanging="425"/>
      </w:pPr>
      <w:r>
        <w:t>OECD (2011): Measuring Financial Literacy: Questionnaire and Guidance Notes for Con- ducting an Internationally Comparable Survey of Financial Literacy, Paris.</w:t>
      </w:r>
    </w:p>
    <w:p w:rsidR="004B762F" w:rsidRDefault="00D268FC">
      <w:pPr>
        <w:pStyle w:val="BodyText"/>
        <w:spacing w:before="121"/>
        <w:ind w:left="643" w:right="435" w:hanging="425"/>
      </w:pPr>
      <w:r>
        <w:t xml:space="preserve">Oelkers, J. (2003): PISA, Standards und „eigenständiges Lernen“. Online: </w:t>
      </w:r>
      <w:hyperlink r:id="rId25">
        <w:r>
          <w:t xml:space="preserve">http://www.paed.unizh.ch/ap/downloads/oelkers/Vortraege/088_Wartensee.pdf </w:t>
        </w:r>
      </w:hyperlink>
      <w:r>
        <w:t>(17.05.</w:t>
      </w:r>
    </w:p>
    <w:p w:rsidR="004B762F" w:rsidRDefault="00D268FC">
      <w:pPr>
        <w:pStyle w:val="BodyText"/>
        <w:spacing w:line="251" w:lineRule="exact"/>
        <w:ind w:left="643"/>
      </w:pPr>
      <w:r>
        <w:t>2011).</w:t>
      </w:r>
    </w:p>
    <w:p w:rsidR="004B762F" w:rsidRDefault="00D268FC">
      <w:pPr>
        <w:pStyle w:val="BodyText"/>
        <w:spacing w:before="121"/>
        <w:ind w:left="643" w:right="421" w:hanging="425"/>
      </w:pPr>
      <w:r>
        <w:t>PISA 2012 Financial Literacy Framework (2010): Draft subject to possible revision after the field</w:t>
      </w:r>
      <w:r>
        <w:t xml:space="preserve"> trial (2010), zuletzt aktualisiert am 14.01.2011, zuletzt geprüft am 13.09.2011.</w:t>
      </w:r>
    </w:p>
    <w:p w:rsidR="004B762F" w:rsidRDefault="00D268FC">
      <w:pPr>
        <w:pStyle w:val="BodyText"/>
        <w:spacing w:before="121"/>
        <w:ind w:left="643" w:right="605" w:hanging="425"/>
      </w:pPr>
      <w:r>
        <w:t>Reifner, U. (2006): EU General Report. In: Reifner, U. (Hg.): Financial Literacy in Europe, Baden-Baden: NOMOS-Verlag.</w:t>
      </w:r>
    </w:p>
    <w:p w:rsidR="004B762F" w:rsidRDefault="00D268FC">
      <w:pPr>
        <w:pStyle w:val="BodyText"/>
        <w:spacing w:before="120"/>
        <w:ind w:left="643" w:right="861" w:hanging="425"/>
      </w:pPr>
      <w:r>
        <w:t>Remmele, B., Seeber, G., Speer, S., Stoller, F. (2012):</w:t>
      </w:r>
      <w:r>
        <w:t xml:space="preserve"> Kurzbericht: Ansprüche an und Grenzen von ökonomischer Grundbildung. Online: http://www.uni-koblenz- landau.de/landau/fb6/sowi/iww/team/Professoren/seeber/oegbe (30.08.12).</w:t>
      </w:r>
    </w:p>
    <w:p w:rsidR="004B762F" w:rsidRDefault="00D268FC">
      <w:pPr>
        <w:pStyle w:val="BodyText"/>
        <w:spacing w:before="120"/>
        <w:ind w:left="643" w:right="702" w:hanging="425"/>
      </w:pPr>
      <w:r>
        <w:t>Schlösser, J., Neubauer, M., Tzanova, P. (2011): Finanzielle Bildung. In: Aus Poli</w:t>
      </w:r>
      <w:r>
        <w:t>tik und Zeitgeschichte, 12/2011, 21.03.2011, 21-27.</w:t>
      </w:r>
    </w:p>
    <w:p w:rsidR="004B762F" w:rsidRDefault="00D268FC">
      <w:pPr>
        <w:pStyle w:val="BodyText"/>
        <w:spacing w:before="120"/>
        <w:ind w:left="643" w:right="261" w:hanging="425"/>
      </w:pPr>
      <w:r>
        <w:t xml:space="preserve">Schlösser, H. J., Schuhen, M. (2011): Ökonomische Grundbildung. In: Siegener Beiträge zur Ökonomischen Bildung, 4/2011. Online: </w:t>
      </w:r>
      <w:hyperlink r:id="rId26">
        <w:r>
          <w:t>http://dokumentix.ub.uni-</w:t>
        </w:r>
      </w:hyperlink>
      <w:r>
        <w:t xml:space="preserve"> siegen.de/opus/volltexte/2012/601/pdf/Oekonomische_Grundbildung.pdf (20.02.2013).</w:t>
      </w:r>
    </w:p>
    <w:p w:rsidR="004B762F" w:rsidRDefault="00D268FC">
      <w:pPr>
        <w:pStyle w:val="BodyText"/>
        <w:spacing w:before="120"/>
        <w:ind w:left="643" w:right="266" w:hanging="425"/>
      </w:pPr>
      <w:r>
        <w:t>Schürz, M., Weber, B. (2005): Finanzielle Allgemeinbildung – ein Ansatz zur Lösung von Problemen im Finanzsektor? In: Kurswechsel – Zeitschrift für gesellschafts-, wirtschaf</w:t>
      </w:r>
      <w:r>
        <w:t>ts- und umweltpolitische Alternativen, (3), 55-69.</w:t>
      </w:r>
    </w:p>
    <w:p w:rsidR="004B762F" w:rsidRDefault="00D268FC">
      <w:pPr>
        <w:pStyle w:val="BodyText"/>
        <w:spacing w:before="120"/>
        <w:ind w:left="218"/>
      </w:pPr>
      <w:r>
        <w:t>Sen, A. K. (2010): Die Idee der Gerechtigkeit, München: Beck.</w:t>
      </w:r>
    </w:p>
    <w:p w:rsidR="004B762F" w:rsidRDefault="00D268FC">
      <w:pPr>
        <w:pStyle w:val="BodyText"/>
        <w:spacing w:before="119"/>
        <w:ind w:left="643" w:right="617" w:hanging="425"/>
      </w:pPr>
      <w:r>
        <w:t xml:space="preserve">Smith, R. C., Sharp, E. H., Campbell, R.: Evaluation of Financial Fitness for Life Program and Future Outlook in the Mississippi Delta. Online: </w:t>
      </w:r>
      <w:hyperlink r:id="rId27">
        <w:r>
          <w:t xml:space="preserve">www.aeaweb.org </w:t>
        </w:r>
      </w:hyperlink>
      <w:r>
        <w:t>(30.08.12).</w:t>
      </w:r>
    </w:p>
    <w:p w:rsidR="004B762F" w:rsidRDefault="00D268FC">
      <w:pPr>
        <w:pStyle w:val="BodyText"/>
        <w:spacing w:before="120"/>
        <w:ind w:left="643" w:right="445" w:hanging="425"/>
      </w:pPr>
      <w:r>
        <w:t>Tang, T. L. (1992): The meaning of money re</w:t>
      </w:r>
      <w:r>
        <w:t>visited. In: Journal of Organizational Behavior 13, 197-202.</w:t>
      </w:r>
    </w:p>
    <w:p w:rsidR="004B762F" w:rsidRDefault="00D268FC">
      <w:pPr>
        <w:pStyle w:val="BodyText"/>
        <w:spacing w:before="121" w:line="352" w:lineRule="auto"/>
        <w:ind w:left="218" w:right="1240"/>
      </w:pPr>
      <w:r>
        <w:t>UNESCO (1962): Statement of the International Committee of Experts on Literacy. UNESCO Institute for Education (2005): UIE Nexus, Vol. 5., No. 1.</w:t>
      </w:r>
    </w:p>
    <w:p w:rsidR="004B762F" w:rsidRDefault="00D268FC">
      <w:pPr>
        <w:pStyle w:val="BodyText"/>
        <w:spacing w:before="2"/>
        <w:ind w:left="643" w:right="399" w:hanging="425"/>
      </w:pPr>
      <w:r>
        <w:t>Weinert, F. E. (2001): Vergleichende Leistungsmes</w:t>
      </w:r>
      <w:r>
        <w:t>sung in Schulen – eine umstrittene Selbstverständlichkeit. In: Weinert, F. E. (Hg.). Leistungsmessungen in Schulen, Wein- heim: Beltz, 17-31.</w:t>
      </w:r>
    </w:p>
    <w:p w:rsidR="004B762F" w:rsidRDefault="00D268FC">
      <w:pPr>
        <w:pStyle w:val="BodyText"/>
        <w:spacing w:before="120"/>
        <w:ind w:left="218"/>
      </w:pPr>
      <w:r>
        <w:t>Weltonline (2004): Finanzieller Analphabetismus in Deutschland weit verbreitet, 22.07.2004.</w:t>
      </w:r>
    </w:p>
    <w:p w:rsidR="004B762F" w:rsidRDefault="00D268FC">
      <w:pPr>
        <w:pStyle w:val="BodyText"/>
        <w:spacing w:before="2"/>
        <w:ind w:left="643" w:right="398"/>
      </w:pPr>
      <w:r>
        <w:t xml:space="preserve">Online: </w:t>
      </w:r>
      <w:hyperlink r:id="rId28">
        <w:r>
          <w:t>http://www.welt.de/print-</w:t>
        </w:r>
      </w:hyperlink>
      <w:r>
        <w:t xml:space="preserve"> welt/article329169/Finanzieller_Analphabetismus_in_Deutschland_weit_verbreitet.html (13.04.2010).</w:t>
      </w:r>
    </w:p>
    <w:p w:rsidR="004B762F" w:rsidRDefault="00D268FC">
      <w:pPr>
        <w:pStyle w:val="BodyText"/>
        <w:spacing w:before="2" w:line="370" w:lineRule="atLeast"/>
        <w:ind w:left="218" w:right="758"/>
      </w:pPr>
      <w:r>
        <w:t>Winther, E. (2010): Kompetenzmessung in der beruflichen Bildung, Bielefeld. Yamauchi, K. T., Templer,</w:t>
      </w:r>
      <w:r>
        <w:t xml:space="preserve"> D. I. (1982): The Development of a Money Attitude Scale. In:</w:t>
      </w:r>
    </w:p>
    <w:p w:rsidR="004B762F" w:rsidRDefault="00D268FC">
      <w:pPr>
        <w:pStyle w:val="BodyText"/>
        <w:spacing w:before="4"/>
        <w:ind w:left="643"/>
      </w:pPr>
      <w:r>
        <w:t>Journal of Personality Assessment, 46.5, 522-528.</w:t>
      </w:r>
    </w:p>
    <w:sectPr w:rsidR="004B762F">
      <w:pgSz w:w="11880" w:h="16800"/>
      <w:pgMar w:top="2040" w:right="1180" w:bottom="1040" w:left="1200" w:header="1432"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268FC">
      <w:r>
        <w:separator/>
      </w:r>
    </w:p>
  </w:endnote>
  <w:endnote w:type="continuationSeparator" w:id="0">
    <w:p w:rsidR="00000000" w:rsidRDefault="00D2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2F" w:rsidRDefault="00D268FC">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509.4pt;margin-top:787pt;width:18.25pt;height:14.35pt;z-index:-252994560;mso-position-horizontal-relative:page;mso-position-vertical-relative:page" filled="f" stroked="f">
          <v:textbox inset="0,0,0,0">
            <w:txbxContent>
              <w:p w:rsidR="004B762F" w:rsidRDefault="00D268FC">
                <w:pPr>
                  <w:pStyle w:val="BodyText"/>
                  <w:spacing w:before="13"/>
                  <w:ind w:left="60"/>
                </w:pPr>
                <w:r>
                  <w:fldChar w:fldCharType="begin"/>
                </w:r>
                <w:r>
                  <w:instrText xml:space="preserve"> PAGE </w:instrText>
                </w:r>
                <w:r>
                  <w:fldChar w:fldCharType="separate"/>
                </w:r>
                <w:r>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268FC">
      <w:r>
        <w:separator/>
      </w:r>
    </w:p>
  </w:footnote>
  <w:footnote w:type="continuationSeparator" w:id="0">
    <w:p w:rsidR="00000000" w:rsidRDefault="00D2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2F" w:rsidRDefault="00D268FC">
    <w:pPr>
      <w:pStyle w:val="BodyText"/>
      <w:spacing w:line="14" w:lineRule="auto"/>
      <w:rPr>
        <w:sz w:val="20"/>
      </w:rPr>
    </w:pPr>
    <w:r>
      <w:rPr>
        <w:noProof/>
        <w:lang w:val="en-AU" w:eastAsia="en-AU" w:bidi="ar-SA"/>
      </w:rPr>
      <w:drawing>
        <wp:anchor distT="0" distB="0" distL="0" distR="0" simplePos="0" relativeHeight="251658240" behindDoc="1" locked="0" layoutInCell="1" allowOverlap="1">
          <wp:simplePos x="0" y="0"/>
          <wp:positionH relativeFrom="page">
            <wp:posOffset>5881115</wp:posOffset>
          </wp:positionH>
          <wp:positionV relativeFrom="page">
            <wp:posOffset>909104</wp:posOffset>
          </wp:positionV>
          <wp:extent cx="649300" cy="28861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49300" cy="288614"/>
                  </a:xfrm>
                  <a:prstGeom prst="rect">
                    <a:avLst/>
                  </a:prstGeom>
                </pic:spPr>
              </pic:pic>
            </a:graphicData>
          </a:graphic>
        </wp:anchor>
      </w:drawing>
    </w:r>
    <w:r>
      <w:pict>
        <v:group id="_x0000_s1027" style="position:absolute;margin-left:70.2pt;margin-top:101.55pt;width:454.65pt;height:.5pt;z-index:-252996608;mso-position-horizontal-relative:page;mso-position-vertical-relative:page" coordorigin="1404,2031" coordsize="9093,10">
          <v:line id="_x0000_s1030" style="position:absolute" from="1404,2036" to="8365,2036" strokeweight=".48pt"/>
          <v:rect id="_x0000_s1029" style="position:absolute;left:8351;top:2030;width:10;height:10" fillcolor="black" stroked="f"/>
          <v:line id="_x0000_s1028" style="position:absolute" from="8361,2036" to="10497,2036" strokeweight=".48pt"/>
          <w10:wrap anchorx="page" anchory="page"/>
        </v:group>
      </w:pict>
    </w:r>
    <w:r>
      <w:pict>
        <v:shapetype id="_x0000_t202" coordsize="21600,21600" o:spt="202" path="m,l,21600r21600,l21600,xe">
          <v:stroke joinstyle="miter"/>
          <v:path gradientshapeok="t" o:connecttype="rect"/>
        </v:shapetype>
        <v:shape id="_x0000_s1026" type="#_x0000_t202" style="position:absolute;margin-left:75.35pt;margin-top:84.85pt;width:249.65pt;height:12.1pt;z-index:-252995584;mso-position-horizontal-relative:page;mso-position-vertical-relative:page" filled="f" stroked="f">
          <v:textbox inset="0,0,0,0">
            <w:txbxContent>
              <w:p w:rsidR="004B762F" w:rsidRDefault="00D268FC">
                <w:pPr>
                  <w:spacing w:before="14"/>
                  <w:ind w:left="20"/>
                  <w:rPr>
                    <w:sz w:val="18"/>
                  </w:rPr>
                </w:pPr>
                <w:r>
                  <w:rPr>
                    <w:sz w:val="18"/>
                  </w:rPr>
                  <w:t xml:space="preserve">Zeitschrift für ökonomische Bildung Heft </w:t>
                </w:r>
                <w:r>
                  <w:rPr>
                    <w:sz w:val="18"/>
                  </w:rPr>
                  <w:t>Nr. 01/2013, S. 73-89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64CA7"/>
    <w:multiLevelType w:val="hybridMultilevel"/>
    <w:tmpl w:val="C374E8C8"/>
    <w:lvl w:ilvl="0" w:tplc="F5A2D062">
      <w:start w:val="1"/>
      <w:numFmt w:val="decimal"/>
      <w:lvlText w:val="%1"/>
      <w:lvlJc w:val="left"/>
      <w:pPr>
        <w:ind w:left="650" w:hanging="432"/>
        <w:jc w:val="left"/>
      </w:pPr>
      <w:rPr>
        <w:rFonts w:ascii="Arial" w:eastAsia="Arial" w:hAnsi="Arial" w:cs="Arial" w:hint="default"/>
        <w:b/>
        <w:bCs/>
        <w:w w:val="99"/>
        <w:sz w:val="26"/>
        <w:szCs w:val="26"/>
        <w:lang w:val="de-DE" w:eastAsia="de-DE" w:bidi="de-DE"/>
      </w:rPr>
    </w:lvl>
    <w:lvl w:ilvl="1" w:tplc="DCDEDEDE">
      <w:numFmt w:val="bullet"/>
      <w:lvlText w:val="•"/>
      <w:lvlJc w:val="left"/>
      <w:pPr>
        <w:ind w:left="1544" w:hanging="432"/>
      </w:pPr>
      <w:rPr>
        <w:rFonts w:hint="default"/>
        <w:lang w:val="de-DE" w:eastAsia="de-DE" w:bidi="de-DE"/>
      </w:rPr>
    </w:lvl>
    <w:lvl w:ilvl="2" w:tplc="6538ACD6">
      <w:numFmt w:val="bullet"/>
      <w:lvlText w:val="•"/>
      <w:lvlJc w:val="left"/>
      <w:pPr>
        <w:ind w:left="2428" w:hanging="432"/>
      </w:pPr>
      <w:rPr>
        <w:rFonts w:hint="default"/>
        <w:lang w:val="de-DE" w:eastAsia="de-DE" w:bidi="de-DE"/>
      </w:rPr>
    </w:lvl>
    <w:lvl w:ilvl="3" w:tplc="27847E70">
      <w:numFmt w:val="bullet"/>
      <w:lvlText w:val="•"/>
      <w:lvlJc w:val="left"/>
      <w:pPr>
        <w:ind w:left="3312" w:hanging="432"/>
      </w:pPr>
      <w:rPr>
        <w:rFonts w:hint="default"/>
        <w:lang w:val="de-DE" w:eastAsia="de-DE" w:bidi="de-DE"/>
      </w:rPr>
    </w:lvl>
    <w:lvl w:ilvl="4" w:tplc="16CA8256">
      <w:numFmt w:val="bullet"/>
      <w:lvlText w:val="•"/>
      <w:lvlJc w:val="left"/>
      <w:pPr>
        <w:ind w:left="4196" w:hanging="432"/>
      </w:pPr>
      <w:rPr>
        <w:rFonts w:hint="default"/>
        <w:lang w:val="de-DE" w:eastAsia="de-DE" w:bidi="de-DE"/>
      </w:rPr>
    </w:lvl>
    <w:lvl w:ilvl="5" w:tplc="8C400B8C">
      <w:numFmt w:val="bullet"/>
      <w:lvlText w:val="•"/>
      <w:lvlJc w:val="left"/>
      <w:pPr>
        <w:ind w:left="5080" w:hanging="432"/>
      </w:pPr>
      <w:rPr>
        <w:rFonts w:hint="default"/>
        <w:lang w:val="de-DE" w:eastAsia="de-DE" w:bidi="de-DE"/>
      </w:rPr>
    </w:lvl>
    <w:lvl w:ilvl="6" w:tplc="4D08BC0C">
      <w:numFmt w:val="bullet"/>
      <w:lvlText w:val="•"/>
      <w:lvlJc w:val="left"/>
      <w:pPr>
        <w:ind w:left="5964" w:hanging="432"/>
      </w:pPr>
      <w:rPr>
        <w:rFonts w:hint="default"/>
        <w:lang w:val="de-DE" w:eastAsia="de-DE" w:bidi="de-DE"/>
      </w:rPr>
    </w:lvl>
    <w:lvl w:ilvl="7" w:tplc="9DC4D684">
      <w:numFmt w:val="bullet"/>
      <w:lvlText w:val="•"/>
      <w:lvlJc w:val="left"/>
      <w:pPr>
        <w:ind w:left="6848" w:hanging="432"/>
      </w:pPr>
      <w:rPr>
        <w:rFonts w:hint="default"/>
        <w:lang w:val="de-DE" w:eastAsia="de-DE" w:bidi="de-DE"/>
      </w:rPr>
    </w:lvl>
    <w:lvl w:ilvl="8" w:tplc="2710E714">
      <w:numFmt w:val="bullet"/>
      <w:lvlText w:val="•"/>
      <w:lvlJc w:val="left"/>
      <w:pPr>
        <w:ind w:left="7732" w:hanging="432"/>
      </w:pPr>
      <w:rPr>
        <w:rFonts w:hint="default"/>
        <w:lang w:val="de-DE" w:eastAsia="de-DE" w:bidi="de-D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99"/>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
  <w:rsids>
    <w:rsidRoot w:val="004B762F"/>
    <w:rsid w:val="004B762F"/>
    <w:rsid w:val="00D268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99"/>
    <o:shapelayout v:ext="edit">
      <o:idmap v:ext="edit" data="2"/>
    </o:shapelayout>
  </w:shapeDefaults>
  <w:decimalSymbol w:val=","/>
  <w:listSeparator w:val=";"/>
  <w15:docId w15:val="{C2705C3B-98D0-4E6B-AE5E-6FA34662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de-DE" w:eastAsia="de-DE" w:bidi="de-DE"/>
    </w:rPr>
  </w:style>
  <w:style w:type="paragraph" w:styleId="Heading1">
    <w:name w:val="heading 1"/>
    <w:basedOn w:val="Normal"/>
    <w:uiPriority w:val="1"/>
    <w:qFormat/>
    <w:pPr>
      <w:ind w:left="650" w:hanging="433"/>
      <w:jc w:val="both"/>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50" w:hanging="43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sychweb.psy.umt.edu/denis/datadecision/front/cortina_alpha.pdf" TargetMode="External"/><Relationship Id="rId18" Type="http://schemas.openxmlformats.org/officeDocument/2006/relationships/hyperlink" Target="http://hrsonline.isr.umich.edu/" TargetMode="External"/><Relationship Id="rId26" Type="http://schemas.openxmlformats.org/officeDocument/2006/relationships/hyperlink" Target="http://dokumentix.ub.uni-/" TargetMode="External"/><Relationship Id="rId3" Type="http://schemas.openxmlformats.org/officeDocument/2006/relationships/settings" Target="settings.xml"/><Relationship Id="rId21" Type="http://schemas.openxmlformats.org/officeDocument/2006/relationships/hyperlink" Target="http://www.jsse.org/2011/2011-3/pdf/schuhen-macha-jsse-3-2011.pdf" TargetMode="External"/><Relationship Id="rId7" Type="http://schemas.openxmlformats.org/officeDocument/2006/relationships/header" Target="header1.xml"/><Relationship Id="rId12" Type="http://schemas.openxmlformats.org/officeDocument/2006/relationships/hyperlink" Target="http://wiwi.uni-mainz.de/Dateien/DP_1202.pdf" TargetMode="External"/><Relationship Id="rId17" Type="http://schemas.openxmlformats.org/officeDocument/2006/relationships/hyperlink" Target="http://www.handelsblatt.com/finanzen/vorsorge/viele-deutsche-sind-finanz-" TargetMode="External"/><Relationship Id="rId25" Type="http://schemas.openxmlformats.org/officeDocument/2006/relationships/hyperlink" Target="http://www.paed.unizh.ch/ap/downloads/oelkers/Vortraege/088_Wartensee.pdf" TargetMode="External"/><Relationship Id="rId2" Type="http://schemas.openxmlformats.org/officeDocument/2006/relationships/styles" Target="styles.xml"/><Relationship Id="rId16" Type="http://schemas.openxmlformats.org/officeDocument/2006/relationships/hyperlink" Target="http://www.sowi-online.de/reader/oekonomie/dgb_bda.htm" TargetMode="External"/><Relationship Id="rId20" Type="http://schemas.openxmlformats.org/officeDocument/2006/relationships/hyperlink" Target="http://www.nber.org/papers/w1710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ceetya.edu.au/verve/_resources/Financial_Literacy_Framework.pdf" TargetMode="External"/><Relationship Id="rId24" Type="http://schemas.openxmlformats.org/officeDocument/2006/relationships/hyperlink" Target="http://www.ncee.net/" TargetMode="External"/><Relationship Id="rId5" Type="http://schemas.openxmlformats.org/officeDocument/2006/relationships/footnotes" Target="footnotes.xml"/><Relationship Id="rId15" Type="http://schemas.openxmlformats.org/officeDocument/2006/relationships/hyperlink" Target="http://www.fte.org/" TargetMode="External"/><Relationship Id="rId23" Type="http://schemas.openxmlformats.org/officeDocument/2006/relationships/hyperlink" Target="http://www.jumpstart.org/assets/files/2008SurveyBook.pdf" TargetMode="External"/><Relationship Id="rId28" Type="http://schemas.openxmlformats.org/officeDocument/2006/relationships/hyperlink" Target="http://www.welt.de/print-" TargetMode="External"/><Relationship Id="rId10" Type="http://schemas.openxmlformats.org/officeDocument/2006/relationships/hyperlink" Target="http://www.bwpat.de/ausgabe22/aprea_bwpat22.pdf" TargetMode="External"/><Relationship Id="rId19" Type="http://schemas.openxmlformats.org/officeDocument/2006/relationships/hyperlink" Target="http://www.ioeb.de/sites/default/files/img/Arbeitspapier_Finanzielle%20Allgemeinbildu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river-/" TargetMode="External"/><Relationship Id="rId22" Type="http://schemas.openxmlformats.org/officeDocument/2006/relationships/hyperlink" Target="http://dokumentix.ub.uni-/" TargetMode="External"/><Relationship Id="rId27" Type="http://schemas.openxmlformats.org/officeDocument/2006/relationships/hyperlink" Target="http://www.aeaweb.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2681</Words>
  <Characters>15285</Characters>
  <Application>Microsoft Office Word</Application>
  <DocSecurity>0</DocSecurity>
  <Lines>127</Lines>
  <Paragraphs>35</Paragraphs>
  <ScaleCrop>false</ScaleCrop>
  <Company>Universitetet i Oslo</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barth</dc:creator>
  <cp:lastModifiedBy>Tony Tan</cp:lastModifiedBy>
  <cp:revision>2</cp:revision>
  <dcterms:created xsi:type="dcterms:W3CDTF">2020-07-08T16:19:00Z</dcterms:created>
  <dcterms:modified xsi:type="dcterms:W3CDTF">2020-07-08T16:34:00Z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2014-06-20T00:00:00Z</vt:filetime>
  </property>
  <property fmtid="{D5CDD505-2E9C-101B-9397-08002B2CF9AE}" pid="3" name="Creator">
    <vt:lpwstr>Microsoft® Office Word 2007</vt:lpwstr>
  </property>
  <property fmtid="{D5CDD505-2E9C-101B-9397-08002B2CF9AE}" pid="4" name="LastSaved">
    <vt:filetime>2020-07-08T00:00:00Z</vt:filetime>
  </property>
</Properties>
</file>