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p>
      <w:pPr>
        <w:spacing w:before="89"/>
        <w:ind w:left="218" w:right="0" w:firstLine="0"/>
        <w:jc w:val="left"/>
        <w:rPr>
          <w:b/>
          <w:sz w:val="32"/>
        </w:rPr>
      </w:pPr>
      <w:r>
        <w:rPr>
          <w:b/>
          <w:sz w:val="32"/>
        </w:rPr>
        <w:t>Kompetenzmessung im Bereich financial literacy</w:t>
      </w:r>
    </w:p>
    <w:p>
      <w:pPr>
        <w:pStyle w:val="Heading1"/>
        <w:spacing w:before="63"/>
        <w:ind w:left="218" w:firstLine="0"/>
        <w:jc w:val="left"/>
      </w:pPr>
      <w:r>
        <w:rPr/>
        <w:t>Ergebnisse zum Umgang mit Online-Rechnern aus der FILS-Studie</w:t>
      </w:r>
    </w:p>
    <w:p>
      <w:pPr>
        <w:pStyle w:val="BodyText"/>
        <w:spacing w:before="11"/>
        <w:rPr>
          <w:b/>
          <w:sz w:val="35"/>
        </w:rPr>
      </w:pPr>
    </w:p>
    <w:p>
      <w:pPr>
        <w:spacing w:before="0"/>
        <w:ind w:left="218" w:right="0" w:firstLine="0"/>
        <w:jc w:val="left"/>
        <w:rPr>
          <w:i/>
          <w:sz w:val="24"/>
        </w:rPr>
      </w:pPr>
      <w:r>
        <w:rPr>
          <w:i/>
          <w:sz w:val="24"/>
        </w:rPr>
        <w:t>Susanne Schürkmann *, AR Dr. Michael Schuhen *</w:t>
      </w:r>
    </w:p>
    <w:p>
      <w:pPr>
        <w:spacing w:before="136"/>
        <w:ind w:left="218" w:right="0" w:firstLine="0"/>
        <w:jc w:val="both"/>
        <w:rPr>
          <w:i/>
          <w:sz w:val="20"/>
        </w:rPr>
      </w:pPr>
      <w:r>
        <w:rPr>
          <w:i/>
          <w:sz w:val="20"/>
        </w:rPr>
        <w:t>* Zentrum für ökonomische Bildung in Siegen (ZöBiS), Universität Siegen</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
        <w:rPr>
          <w:i/>
        </w:rPr>
      </w:pPr>
    </w:p>
    <w:p>
      <w:pPr>
        <w:pStyle w:val="Heading1"/>
        <w:ind w:left="218" w:firstLine="0"/>
        <w:jc w:val="left"/>
      </w:pPr>
      <w:r>
        <w:rPr/>
        <w:t>Zusammenfassung</w:t>
      </w:r>
    </w:p>
    <w:p>
      <w:pPr>
        <w:spacing w:before="152"/>
        <w:ind w:left="218" w:right="235" w:firstLine="0"/>
        <w:jc w:val="both"/>
        <w:rPr>
          <w:sz w:val="20"/>
        </w:rPr>
      </w:pPr>
      <w:r>
        <w:rPr>
          <w:sz w:val="20"/>
        </w:rPr>
        <w:t>Studien zur financial literacy werden aktuell vielfältig durchgeführt, ohne dass das dahinterliegende Konstrukt eingehend diskutiert wird. Der Beitrag thematisiert die aktuellen Diskussionslinien und ord- net die neue FILS-Studie im Forschungsumfeld ein. Auch diese geht von einem eigenständigen Kon- strukt financial literacy aus, verwendet aber anders als alle bisherigen Studien Simulationsrechner, die vielfach im Internet zu finden sind (Sparratenrechner, Finanzierungsrechner usw.) und die Verbrau- cher bei ihrer Entscheidungsfindung unterstützen sollen. Diese gehören im Zuge von erhöhten Indivi- dualisierungsprozessen, steigenden sozialen Risiken und der wachsenden Verantwortung, sich selber finanziell abzusichern (Schürz/Weber 2005), zum Anforderungsprofil einer heutigen financial literacy. Getestet wurden 14- bis 17-jährige Schüler in Deutschland (N=817). Die Auswertung der Daten erfolgt mit Methoden der klassischen Testtheorie.</w:t>
      </w:r>
    </w:p>
    <w:p>
      <w:pPr>
        <w:pStyle w:val="BodyText"/>
        <w:spacing w:before="9"/>
        <w:rPr>
          <w:sz w:val="32"/>
        </w:rPr>
      </w:pPr>
    </w:p>
    <w:p>
      <w:pPr>
        <w:pStyle w:val="Heading1"/>
        <w:ind w:left="218" w:firstLine="0"/>
        <w:jc w:val="left"/>
      </w:pPr>
      <w:r>
        <w:rPr/>
        <w:t>Abstract</w:t>
      </w:r>
    </w:p>
    <w:p>
      <w:pPr>
        <w:spacing w:before="151"/>
        <w:ind w:left="218" w:right="234" w:firstLine="0"/>
        <w:jc w:val="both"/>
        <w:rPr>
          <w:sz w:val="20"/>
        </w:rPr>
      </w:pPr>
      <w:r>
        <w:rPr>
          <w:sz w:val="20"/>
        </w:rPr>
        <w:t>Studies into financial literacy are currently conducted from a variety of perspectives without the under- lying construct itself being discussed in detail. The paper thematizes the current lines of discussion and classifies the new FILS study in the wider research terrain. This study also assumes its own inde- pendent construct of financial literacy; yet unlike all previous studies, it employs simulation calculators which can be found on the internet (savings rate calculator, financial calculator, etc); they support consumers in their decision-making process. Given increased individualisation processes, heightened social risks and greater responsibility to protect individual finances (Schürz/Weber 2005), these calcu- lators form part of the requirement profile of modern-day financial literacy. School pupils in Germany between the ages of 14 and 17 years (N=817) were tested and the data was evaluated by using clas- sical test theory methods.</w:t>
      </w:r>
    </w:p>
    <w:p>
      <w:pPr>
        <w:spacing w:after="0"/>
        <w:jc w:val="both"/>
        <w:rPr>
          <w:sz w:val="20"/>
        </w:rPr>
        <w:sectPr>
          <w:headerReference w:type="default" r:id="rId5"/>
          <w:footerReference w:type="default" r:id="rId6"/>
          <w:type w:val="continuous"/>
          <w:pgSz w:w="11880" w:h="16800"/>
          <w:pgMar w:header="1432" w:footer="840" w:top="2040" w:bottom="1040" w:left="1200" w:right="1180"/>
          <w:pgNumType w:start="73"/>
        </w:sectPr>
      </w:pPr>
    </w:p>
    <w:p>
      <w:pPr>
        <w:pStyle w:val="BodyText"/>
        <w:spacing w:before="10"/>
        <w:rPr>
          <w:sz w:val="13"/>
        </w:rPr>
      </w:pPr>
    </w:p>
    <w:p>
      <w:pPr>
        <w:pStyle w:val="Heading1"/>
        <w:numPr>
          <w:ilvl w:val="0"/>
          <w:numId w:val="1"/>
        </w:numPr>
        <w:tabs>
          <w:tab w:pos="651" w:val="left" w:leader="none"/>
        </w:tabs>
        <w:spacing w:line="240" w:lineRule="auto" w:before="91" w:after="0"/>
        <w:ind w:left="650" w:right="0" w:hanging="433"/>
        <w:jc w:val="both"/>
      </w:pPr>
      <w:r>
        <w:rPr/>
        <w:t>Diskussionsgrundlage</w:t>
      </w:r>
    </w:p>
    <w:p>
      <w:pPr>
        <w:pStyle w:val="BodyText"/>
        <w:spacing w:line="360" w:lineRule="auto" w:before="151"/>
        <w:ind w:left="218" w:right="230"/>
        <w:jc w:val="both"/>
      </w:pPr>
      <w:r>
        <w:rPr/>
        <w:t>Die Begriffe financial literacy, financial capability und finanzielle Bildung sind schon seit län- gerer Zeit in der Tagespresse, in politischen Diskussionsrunden und Wissenschafts- beiträgen zu finden. Allerdings sind sie „konjunkturabhängig“, denn meist treten sie auf, wenn Verbraucher in größerer Zahl „falsch“ angelegt haben oder in die Schuldenfalle gera- ten sind. Immer dann wird das Bild des „mündigen Verbrauchers“ (FAZ 18. Juli 2012, 17 </w:t>
      </w:r>
      <w:r>
        <w:rPr>
          <w:spacing w:val="-2"/>
        </w:rPr>
        <w:t>mit </w:t>
      </w:r>
      <w:r>
        <w:rPr/>
        <w:t>Bezug auf Versicherungen) und dessen Bildung bemüht. Ansonsten wird der deutschen Be- völkerung gerne schon einmal „finanzieller Analphabetismus“ (Leinert 2004) oder „Financial Illiteracy“ (Weltonline 22.07.2004; Handelsblatt 22.07.2004; Häcker 2007) vorgeworfen. Solche Pressemitteilungen stützen sich auf verschiedene financial literacy Studien. Diese sind jedoch in ihrer inhaltlichen und messtheoretischen Konzeption äußerst heterogen (Gnam et al.</w:t>
      </w:r>
      <w:r>
        <w:rPr>
          <w:spacing w:val="4"/>
        </w:rPr>
        <w:t> </w:t>
      </w:r>
      <w:r>
        <w:rPr/>
        <w:t>2007).</w:t>
      </w:r>
    </w:p>
    <w:p>
      <w:pPr>
        <w:pStyle w:val="BodyText"/>
        <w:spacing w:line="360" w:lineRule="auto"/>
        <w:ind w:left="218" w:right="232"/>
        <w:jc w:val="both"/>
      </w:pPr>
      <w:r>
        <w:rPr/>
        <w:t>Im Zentrum des nachfolgenden Beitrags steht eine Perspektive des Konstrukts financial literacy, die in der Financial Literacy Study (FILS) erstmals erhoben wurde: der Umgang mit Simulationsrechnern. Der Forschungsstand in Kapitel 2 zeigt die aktuell üblichen Mess- dimensionen in einem Überblick auf. In Kapitel 3 soll auf Messprobleme aus Sicht der Kom- petenzdiagnostik hingewiesen werden, von denen in FILS die Dimensionen Aufgabenforma- te und Simulationen besonders berücksichtigt wurden (Kapitel 4). Die Ergebnisse aus dem Umgang mit den verwendeten Simulationsrechnern werden in Kapitel 5 zur Diskussion ge- stellt.</w:t>
      </w:r>
    </w:p>
    <w:p>
      <w:pPr>
        <w:pStyle w:val="BodyText"/>
        <w:spacing w:before="10"/>
        <w:rPr>
          <w:sz w:val="32"/>
        </w:rPr>
      </w:pPr>
    </w:p>
    <w:p>
      <w:pPr>
        <w:pStyle w:val="Heading1"/>
        <w:numPr>
          <w:ilvl w:val="0"/>
          <w:numId w:val="1"/>
        </w:numPr>
        <w:tabs>
          <w:tab w:pos="651" w:val="left" w:leader="none"/>
        </w:tabs>
        <w:spacing w:line="240" w:lineRule="auto" w:before="1" w:after="0"/>
        <w:ind w:left="650" w:right="0" w:hanging="433"/>
        <w:jc w:val="both"/>
      </w:pPr>
      <w:r>
        <w:rPr/>
        <w:t>Forschungsstand</w:t>
      </w:r>
    </w:p>
    <w:p>
      <w:pPr>
        <w:pStyle w:val="BodyText"/>
        <w:spacing w:line="360" w:lineRule="auto" w:before="151"/>
        <w:ind w:left="218" w:right="232"/>
        <w:jc w:val="both"/>
      </w:pPr>
      <w:r>
        <w:rPr/>
        <w:t>Financial literacy greift Vokabular aus der breit angelegten Grundbildungsdiskussion auf (Schlösser/Schuhen 2011). Der Begriff Grundbildung wird in ihr synonym zum Begriff Literalität (literacy) gebraucht (Oelkers 2003, 4). So wird von „funktionalem Analphabetis- mus“ oder von „Illiteralität“ gesprochen, wenn die Betroffenen trotz Schulbesuchs nur über  so geringe Schriftsprachkompetenzen verfügen, dass sie diese nicht funktional im Alltags- oder Berufsleben einsetzen können. Im Unterschied hierzu ist von „primärem“ oder „totalem Analphabetismus“ die Rede, wenn eine Person nie Lesen und Schreiben gelernt hat (Grotlüschen/Riekmann 2011). Folgt man dieser sehr engen Auffassung, so würde ein Be- griff </w:t>
      </w:r>
      <w:r>
        <w:rPr>
          <w:spacing w:val="-2"/>
        </w:rPr>
        <w:t>wie </w:t>
      </w:r>
      <w:r>
        <w:rPr/>
        <w:t>„financial literacy“ dem Literalitätsbegriff seinen bedeutungstragenden Kern entzie- hen. Es lässt sich aber dagegenhalten, dass diese Gefahr nur dann besteht, wenn versäumt wird,</w:t>
      </w:r>
      <w:r>
        <w:rPr>
          <w:spacing w:val="9"/>
        </w:rPr>
        <w:t> </w:t>
      </w:r>
      <w:r>
        <w:rPr/>
        <w:t>literacy</w:t>
      </w:r>
      <w:r>
        <w:rPr>
          <w:spacing w:val="7"/>
        </w:rPr>
        <w:t> </w:t>
      </w:r>
      <w:r>
        <w:rPr/>
        <w:t>hinsichtlich</w:t>
      </w:r>
      <w:r>
        <w:rPr>
          <w:spacing w:val="11"/>
        </w:rPr>
        <w:t> </w:t>
      </w:r>
      <w:r>
        <w:rPr/>
        <w:t>des</w:t>
      </w:r>
      <w:r>
        <w:rPr>
          <w:spacing w:val="9"/>
        </w:rPr>
        <w:t> </w:t>
      </w:r>
      <w:r>
        <w:rPr/>
        <w:t>jeweiligen</w:t>
      </w:r>
      <w:r>
        <w:rPr>
          <w:spacing w:val="8"/>
        </w:rPr>
        <w:t> </w:t>
      </w:r>
      <w:r>
        <w:rPr/>
        <w:t>Kontextes</w:t>
      </w:r>
      <w:r>
        <w:rPr>
          <w:spacing w:val="9"/>
        </w:rPr>
        <w:t> </w:t>
      </w:r>
      <w:r>
        <w:rPr/>
        <w:t>zu</w:t>
      </w:r>
      <w:r>
        <w:rPr>
          <w:spacing w:val="9"/>
        </w:rPr>
        <w:t> </w:t>
      </w:r>
      <w:r>
        <w:rPr/>
        <w:t>konkretisieren.</w:t>
      </w:r>
      <w:r>
        <w:rPr>
          <w:spacing w:val="5"/>
        </w:rPr>
        <w:t> </w:t>
      </w:r>
      <w:r>
        <w:rPr/>
        <w:t>Wird</w:t>
      </w:r>
      <w:r>
        <w:rPr>
          <w:spacing w:val="6"/>
        </w:rPr>
        <w:t> </w:t>
      </w:r>
      <w:r>
        <w:rPr/>
        <w:t>von</w:t>
      </w:r>
      <w:r>
        <w:rPr>
          <w:spacing w:val="11"/>
        </w:rPr>
        <w:t> </w:t>
      </w:r>
      <w:r>
        <w:rPr/>
        <w:t>einem</w:t>
      </w:r>
      <w:r>
        <w:rPr>
          <w:spacing w:val="12"/>
        </w:rPr>
        <w:t> </w:t>
      </w:r>
      <w:r>
        <w:rPr/>
        <w:t>weiten</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29"/>
        <w:jc w:val="both"/>
      </w:pPr>
      <w:r>
        <w:rPr/>
        <w:t>Begriff von Literalität ausgegangen (UNESCO Institute for Education 2005, 1 und 4), so exis- tieren in einer Kultur in je verschiedenen Lebensbereichen verschiedene Literalitäten (Bar- ton/Hamilton 2000, 9). Alphabetisierung (und auch der funktionale Analphabetismus) unter- liegen somit einem zeitlichen Wandel, und die Diskussion einer financial literacy macht Sinn. Als alphabetisiert gilt heute, wer sich an sämtlichen Aktivitäten seiner Umwelt, bei denen Lesen, Schreiben und Rechnen erforderlich sind, und ebenso an der weiteren Nutzung die- ser Kulturtechniken für seine eigene Entwicklung und die seiner Gemeinschaft beteiligen kann (UNESCO 1962). Dazu gehören bspw. die Rezeption von Texten, die von allgemeinem Interesse sind, der Umgang mit Bedienungsanleitungen und schriftlichen Arbeitsanweisun- gen, das Ausfüllen von Formularen, das Bedienen von Automaten und dergleichen mehr. Für die Orientierung in einer europäischen Gesellschaft ist aber auch ein gewisses Maß an Medienkompetenz (media literacy) und ökonomischer Kompetenz (economic and financial literacy) erforderlich (Remmele et al. 2012), denn ansonsten können die Zielgruppen nicht ausreichend an ihren verschiedenen Lebenskontexten partizipieren („life skills“, „basic skills“) (Basic Skills Agency 1993; Schlösser/Schuhen</w:t>
      </w:r>
      <w:r>
        <w:rPr>
          <w:spacing w:val="-1"/>
        </w:rPr>
        <w:t> </w:t>
      </w:r>
      <w:r>
        <w:rPr/>
        <w:t>2011).</w:t>
      </w:r>
    </w:p>
    <w:p>
      <w:pPr>
        <w:pStyle w:val="BodyText"/>
        <w:spacing w:line="360" w:lineRule="auto"/>
        <w:ind w:left="218" w:right="230"/>
        <w:jc w:val="both"/>
      </w:pPr>
      <w:r>
        <w:rPr/>
        <w:t>In PISA 2012, das ebenfalls den Literacy-Ansatz verfolgt, wird financial literacy als eigen- ständiges Konstrukt getestet. Dieses Vorgehen, betrachtet man die empirischen Studien, scheint üblich, denn in der Literatur wird bisher kaum hinterfragt, inwieweit die Eigenständig- keit überhaupt existiert und eine Überschneidungsfreiheit zu einer vielleicht umfassenderen economic literacy ausgeschlossen werden kann (Macha/Schuhen 2012b). In der ökonomi- schen Bildung ist hingegen eine breitere Diskussion über die Inklusion von financial literacy in die ökonomische Bildung entstanden (Schlösser et al. 2011; Kaminski/Friebel 2012), die international nicht rezipiert wurde. Die existierenden Studien testen allenfalls Elemente einer vielleicht übergreifenden economic literacy, obwohl es genügend Hinweise für eine Erweite- rung gegeben hat. Dazu gehören die gesellschaftlichen Konsequenzen und die Verantwor- tung des Einzelnen für sein Handeln (Reifner 2006; Gemeinsame Initiative 2000; Australian Ministerial Council 2006), wirtschaftliches Denken (FTE 2005; NCEE o.J.) im Sinne von Kal- kulieren und Entscheiden sowie politische Urteilsfähigkeit (BDA 1998). Eher selten werden die Auswirkungen gesellschaftlicher Zusammenhänge für die individuelle Situation oder das Wissen über den Finanzsektor angeführt (Gnan et al. 2007,</w:t>
      </w:r>
      <w:r>
        <w:rPr>
          <w:spacing w:val="-5"/>
        </w:rPr>
        <w:t> </w:t>
      </w:r>
      <w:r>
        <w:rPr/>
        <w:t>33f.).</w:t>
      </w:r>
    </w:p>
    <w:p>
      <w:pPr>
        <w:pStyle w:val="BodyText"/>
        <w:spacing w:line="360" w:lineRule="auto" w:before="1"/>
        <w:ind w:left="218" w:right="231"/>
        <w:jc w:val="both"/>
      </w:pPr>
      <w:r>
        <w:rPr/>
        <w:t>Da eine systematische Untersuchung der Beziehung beider Konstrukte bisher ausgeblieben ist, ist die Frage noch unbeantwortet, ob financial literacy als Konstrukt eine eigene Kompe- tenzdimension darstellt oder ob es sich vielleicht nur um Wissensbestände zum Thema Fi- nanzen handelt, die aufgrund der Fähigkeit, ökonomisch denken zu können</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3"/>
        <w:jc w:val="both"/>
      </w:pPr>
      <w:r>
        <w:rPr/>
        <w:t>(Konzept der Knappheit, Opportunitätskosten, Umgang mit Risiko etc.), dazu führen, dass die getesteten Probanden kompetenter gewesen sind (Aprea</w:t>
      </w:r>
      <w:r>
        <w:rPr>
          <w:spacing w:val="-9"/>
        </w:rPr>
        <w:t> </w:t>
      </w:r>
      <w:r>
        <w:rPr/>
        <w:t>2012).</w:t>
      </w:r>
    </w:p>
    <w:p>
      <w:pPr>
        <w:pStyle w:val="BodyText"/>
        <w:spacing w:line="360" w:lineRule="auto"/>
        <w:ind w:left="218" w:right="230"/>
        <w:jc w:val="both"/>
      </w:pPr>
      <w:r>
        <w:rPr/>
        <w:t>Um dies zu umgehen, stellt financial literacy aus PISA-Sicht die Entscheidungsfähigkeit in finanziellen Angelegenheiten ins Zentrum. „Financial Literacy is knowledge and understand- ing of financial concepts and risks, and the skills, motivation and confidence to apply such knowledge and understanding in order to make effective decisions across a range of finan- cial contexts, to improve the financial well-being of individuals and society, and to enable participation in economic life” (PISA 2012, 12f.). Ansätze einer kategorial motivierten inhaltli- chen Auseinandersetzung mit dem Konstrukt sind erkennbar, bleiben allerdings sehr offen formuliert und unbegründet. In der ein Jahr zurückliegenden Definition der OECD INFE fehl- te der kategoriale Zugang, betont wurden Bewusstsein sowie Einstellungen und Verhalten als wesentliche Determinanten einer financial literacy: „A combination of awareness, knowledge, skill, attitude and behaviour necessary to make sound financial decisions and ultimately achieve individual financial wellbeing.“ (OECD 2011,</w:t>
      </w:r>
      <w:r>
        <w:rPr>
          <w:spacing w:val="-9"/>
        </w:rPr>
        <w:t> </w:t>
      </w:r>
      <w:r>
        <w:rPr/>
        <w:t>3).</w:t>
      </w:r>
    </w:p>
    <w:p>
      <w:pPr>
        <w:pStyle w:val="BodyText"/>
        <w:spacing w:before="9"/>
        <w:rPr>
          <w:sz w:val="32"/>
        </w:rPr>
      </w:pPr>
    </w:p>
    <w:p>
      <w:pPr>
        <w:pStyle w:val="Heading1"/>
        <w:numPr>
          <w:ilvl w:val="0"/>
          <w:numId w:val="1"/>
        </w:numPr>
        <w:tabs>
          <w:tab w:pos="651" w:val="left" w:leader="none"/>
        </w:tabs>
        <w:spacing w:line="240" w:lineRule="auto" w:before="0" w:after="0"/>
        <w:ind w:left="650" w:right="0" w:hanging="433"/>
        <w:jc w:val="both"/>
      </w:pPr>
      <w:r>
        <w:rPr/>
        <w:t>Kompetenzmessung oder</w:t>
      </w:r>
      <w:r>
        <w:rPr>
          <w:spacing w:val="-3"/>
        </w:rPr>
        <w:t> </w:t>
      </w:r>
      <w:r>
        <w:rPr/>
        <w:t>Wissensabfrage?</w:t>
      </w:r>
    </w:p>
    <w:p>
      <w:pPr>
        <w:pStyle w:val="BodyText"/>
        <w:spacing w:line="360" w:lineRule="auto" w:before="152"/>
        <w:ind w:left="218" w:right="233"/>
        <w:jc w:val="both"/>
      </w:pPr>
      <w:r>
        <w:rPr/>
        <w:t>Betrachtet man financial literacy als eine Kompetenz und nicht nur als einen Wissensbe- reich, so gelten für die Messung dieser Kompetenz gewisse Anforderungen.</w:t>
      </w:r>
    </w:p>
    <w:p>
      <w:pPr>
        <w:pStyle w:val="BodyText"/>
        <w:spacing w:line="360" w:lineRule="auto" w:before="2"/>
        <w:ind w:left="218" w:right="230"/>
        <w:jc w:val="both"/>
      </w:pPr>
      <w:r>
        <w:rPr/>
        <w:t>Kompetenzen differenzieren sich, anders als beispielsweise das Konstrukt der Intelligenz, besonders stark in (domänen-)spezifische Konstrukte. Dies zeigen bereits die frühen Arbei- ten von Chomsky, der in die kognitivistische Schule einzuordnen ist und im Zentrum die Kompetenz-Performanz-Abgrenzung behandelt (Chomsky 1965). Nach Chomsky wird (lingu- istische) Kompetenz über kognitive Strukturen und Regeln bestimmt, ohne die die Fähigkeit, Sprache zu erzeugen, nicht gegeben wäre. Linguistische Performanz wäre dann die be- obachtbare Fähigkeit (Sprache) in der praktischen Anwendung. In diesem Sinne werden unter dem testtheoretischen Fokus Kompetenzen auch als kognitive Leistungsdispositionen verstanden, die sich auf einen übergeordneten sinnstiftenden thematischen Handlungskon- text, die Domäne, beziehen. Werden diese kognitiven Leistungsdispositionen zur Aufgaben- bearbeitung herangezogen, spricht man von Performanz. Die Dispositionen der Schüler zei- gen sich, wenn sie die konkreten Aufgaben bearbeiten, also auf performativer Ebene. So kann von der Performanz auf die Kompetenz zurückgeschlossen werden (Winther 2010, 9). Ein Kompetenzmodell stellt somit das Bindeglied zwischen dem Konstrukt „Kompetenz“ und den realen Aufgaben dar, weshalb auch die Diskussion um financial literacy in seiner</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3"/>
        <w:jc w:val="both"/>
      </w:pPr>
      <w:r>
        <w:rPr/>
        <w:t>PISA-Definition (PISA 2012) als eigenständige Kompetenz relevant und notwendig ist (Ma- cha/Schuhen 2012b).</w:t>
      </w:r>
    </w:p>
    <w:p>
      <w:pPr>
        <w:pStyle w:val="BodyText"/>
        <w:spacing w:line="360" w:lineRule="auto"/>
        <w:ind w:left="218" w:right="230"/>
        <w:jc w:val="both"/>
      </w:pPr>
      <w:r>
        <w:rPr/>
        <w:t>Kompetenzmessungen</w:t>
      </w:r>
      <w:r>
        <w:rPr>
          <w:vertAlign w:val="superscript"/>
        </w:rPr>
        <w:t>1</w:t>
      </w:r>
      <w:r>
        <w:rPr>
          <w:vertAlign w:val="baseline"/>
        </w:rPr>
        <w:t> erfordern problemhaltige Aufgaben und nicht reine Wissensaufga- ben (Dimension 1 in Abbildung 1) (Weinert 2001, 27). Ferner bilden Kompetenzstrukturmo- delle die Basis der Testung. Ein Kompetenzstrukturmodell versucht, die innere Struktur der zu messenden Kompetenzen zu erfassen, also z. B. der Frage nachzugehen, welche einzel- nen Teilkompetenzen wie welche Gesamtkompetenz abbilden. Diese Dimension von Mes- sungen wurde in der nachfolgenden Abbildung unter „Handlungsaspekte“ (2) gefasst. Kom- petenzniveaumodelle hingegen messen, „[...] welche spezifischen Anforderungen eine Per- son mit einer hohen Kompetenz bewältigen kann und welche Anforderungen eine Person mit niedriger Kompetenz gerade noch bewältigt und welche nicht“ (Hartig/Klieme 2007, 133). Solche ebenfalls notwendigen Modelle beschäftigen sich mit der genauen Messung von An- forderungsniveaus (3) und deren Bewältigung durch die Testpersonen und setzen diese in Beziehung zu abstrakt hergeleiteten, theoretisch begründeten Vorstellungen darüber, was eine bestimmte Gruppe von Testpersonen in einem bestimmten Inhaltsbereich (4) können soll.</w:t>
      </w:r>
    </w:p>
    <w:p>
      <w:pPr>
        <w:pStyle w:val="BodyText"/>
        <w:spacing w:line="360" w:lineRule="auto" w:before="1"/>
        <w:ind w:left="218" w:right="250"/>
      </w:pPr>
      <w:r>
        <w:rPr/>
        <w:t>Unterschiedliche Aufgabenformate (5) (Klieme 2005) sollen dazu beitragen, dass beispiels- weise kein Multiple-Choice-Bias auftritt. Als weitere Aufgabenformate schlägt Klieme offene Antwortformate vor. Weitere Möglichkeiten wären Arbeitsproben, Sprechformate usw. Ent- scheidend ist, dass Verzerrungen in den Ergebnissen, die der Vertrautheit von Teilpopulati- onen der Testpersonen mit bestimmten Fragenformaten geschuldet sind, minimiert werden. Weinert (6) fordert ferner „variable Situationen“ (Weinert 2001, 27), in denen Probleme ge- löst werden sollen. Dies bedingt nicht nur eine variable Gestaltung der von den Testperso- nen zu lösenden Aufgaben, sondern erfordert auch, dass diese aus unterschiedlichen Kon- texten stammen. Innerhalb der ökonomischen Bildung nimmt das Rollenkonzept hierbei eine hervorgehobene Stellung ein. So entwickelte Jung (2006, 33-60) ein zunächst sechsfach, dann vierfach gestuftes Kompetenzmodell, das auf der Annahme beruht, dass es lebens- und lernweltliche Herausforderungen in domänenspezifischen Rollen (6) gibt (Jung 2009, 204f.). Zudem sind Motivation und Volition (8) zu erheben (Weinert 2001,</w:t>
      </w:r>
      <w:r>
        <w:rPr>
          <w:spacing w:val="-6"/>
        </w:rPr>
        <w:t> </w:t>
      </w:r>
      <w:r>
        <w:rPr/>
        <w:t>27).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r>
        <w:rPr/>
        <w:pict>
          <v:shape style="position:absolute;margin-left:70.944pt;margin-top:16.152256pt;width:144.050pt;height:.1pt;mso-position-horizontal-relative:page;mso-position-vertical-relative:paragraph;z-index:-251658240;mso-wrap-distance-left:0;mso-wrap-distance-right:0" coordorigin="1419,323" coordsize="2881,0" path="m1419,323l4299,323e" filled="false" stroked="true" strokeweight=".599980pt" strokecolor="#000000">
            <v:path arrowok="t"/>
            <v:stroke dashstyle="solid"/>
            <w10:wrap type="topAndBottom"/>
          </v:shape>
        </w:pict>
      </w:r>
    </w:p>
    <w:p>
      <w:pPr>
        <w:spacing w:before="27"/>
        <w:ind w:left="218" w:right="0" w:firstLine="0"/>
        <w:jc w:val="left"/>
        <w:rPr>
          <w:sz w:val="20"/>
        </w:rPr>
      </w:pPr>
      <w:r>
        <w:rPr>
          <w:position w:val="10"/>
          <w:sz w:val="13"/>
        </w:rPr>
        <w:t>1 </w:t>
      </w:r>
      <w:r>
        <w:rPr>
          <w:sz w:val="20"/>
        </w:rPr>
        <w:t>Vgl. zur nachfolgenden Systematik Macha/Schuhen 2011a und 2011b.</w:t>
      </w:r>
    </w:p>
    <w:p>
      <w:pPr>
        <w:spacing w:after="0"/>
        <w:jc w:val="left"/>
        <w:rPr>
          <w:sz w:val="20"/>
        </w:rPr>
        <w:sectPr>
          <w:pgSz w:w="11880" w:h="16800"/>
          <w:pgMar w:header="1432" w:footer="840" w:top="2040" w:bottom="1040" w:left="1200" w:right="1180"/>
        </w:sectPr>
      </w:pPr>
    </w:p>
    <w:p>
      <w:pPr>
        <w:pStyle w:val="BodyText"/>
        <w:rPr>
          <w:sz w:val="20"/>
        </w:rPr>
      </w:pPr>
      <w:r>
        <w:rPr/>
        <w:pict>
          <v:group style="position:absolute;margin-left:65.543999pt;margin-top:168.979996pt;width:97.45pt;height:34.950pt;mso-position-horizontal-relative:page;mso-position-vertical-relative:page;z-index:-252995584" coordorigin="1311,3380" coordsize="1949,699">
            <v:shape style="position:absolute;left:1315;top:3384;width:1940;height:689" coordorigin="1316,3384" coordsize="1940,689" path="m3255,3384l1316,3384,1316,3521,1419,3521,1419,3730,1419,3936,1316,3936,1316,4073,3255,4073,3255,3936,3152,3936,3152,3730,3152,3521,3255,3521,3255,3384e" filled="true" fillcolor="#eed2d2" stroked="false">
              <v:path arrowok="t"/>
              <v:fill type="solid"/>
            </v:shape>
            <v:line style="position:absolute" from="1316,3384" to="3255,4073" stroked="true" strokeweight=".48pt" strokecolor="#000000">
              <v:stroke dashstyle="solid"/>
            </v:line>
            <w10:wrap type="none"/>
          </v:group>
        </w:pict>
      </w:r>
    </w:p>
    <w:p>
      <w:pPr>
        <w:pStyle w:val="BodyText"/>
        <w:rPr>
          <w:sz w:val="20"/>
        </w:rPr>
      </w:pPr>
    </w:p>
    <w:p>
      <w:pPr>
        <w:pStyle w:val="BodyText"/>
        <w:spacing w:before="1"/>
        <w:rPr>
          <w:sz w:val="15"/>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045"/>
        <w:gridCol w:w="1044"/>
        <w:gridCol w:w="1047"/>
        <w:gridCol w:w="1044"/>
        <w:gridCol w:w="1044"/>
        <w:gridCol w:w="1047"/>
        <w:gridCol w:w="1042"/>
      </w:tblGrid>
      <w:tr>
        <w:trPr>
          <w:trHeight w:val="690" w:hRule="atLeast"/>
        </w:trPr>
        <w:tc>
          <w:tcPr>
            <w:tcW w:w="1949" w:type="dxa"/>
            <w:tcBorders>
              <w:left w:val="nil"/>
              <w:right w:val="nil"/>
            </w:tcBorders>
          </w:tcPr>
          <w:p>
            <w:pPr>
              <w:pStyle w:val="TableParagraph"/>
              <w:rPr>
                <w:rFonts w:ascii="Times New Roman"/>
                <w:sz w:val="18"/>
              </w:rPr>
            </w:pPr>
          </w:p>
        </w:tc>
        <w:tc>
          <w:tcPr>
            <w:tcW w:w="1045" w:type="dxa"/>
            <w:tcBorders>
              <w:left w:val="nil"/>
              <w:right w:val="nil"/>
            </w:tcBorders>
          </w:tcPr>
          <w:p>
            <w:pPr>
              <w:pStyle w:val="TableParagraph"/>
              <w:spacing w:before="133"/>
              <w:ind w:left="112" w:right="132"/>
              <w:rPr>
                <w:b/>
                <w:sz w:val="18"/>
              </w:rPr>
            </w:pPr>
            <w:r>
              <w:rPr>
                <w:b/>
                <w:sz w:val="18"/>
              </w:rPr>
              <w:t>Problem- lösen (1)</w:t>
            </w:r>
          </w:p>
        </w:tc>
        <w:tc>
          <w:tcPr>
            <w:tcW w:w="1044" w:type="dxa"/>
            <w:tcBorders>
              <w:left w:val="nil"/>
              <w:right w:val="nil"/>
            </w:tcBorders>
          </w:tcPr>
          <w:p>
            <w:pPr>
              <w:pStyle w:val="TableParagraph"/>
              <w:spacing w:before="27"/>
              <w:ind w:left="112" w:right="188"/>
              <w:rPr>
                <w:b/>
                <w:sz w:val="18"/>
              </w:rPr>
            </w:pPr>
            <w:r>
              <w:rPr>
                <w:b/>
                <w:sz w:val="18"/>
              </w:rPr>
              <w:t>Hand- lungsas- pekte (2)</w:t>
            </w:r>
          </w:p>
        </w:tc>
        <w:tc>
          <w:tcPr>
            <w:tcW w:w="1047" w:type="dxa"/>
            <w:tcBorders>
              <w:left w:val="nil"/>
              <w:right w:val="nil"/>
            </w:tcBorders>
          </w:tcPr>
          <w:p>
            <w:pPr>
              <w:pStyle w:val="TableParagraph"/>
              <w:spacing w:before="27"/>
              <w:ind w:left="112" w:right="171"/>
              <w:jc w:val="both"/>
              <w:rPr>
                <w:b/>
                <w:sz w:val="18"/>
              </w:rPr>
            </w:pPr>
            <w:r>
              <w:rPr>
                <w:b/>
                <w:sz w:val="18"/>
              </w:rPr>
              <w:t>Anforde- rungsniv eau (3)</w:t>
            </w:r>
          </w:p>
        </w:tc>
        <w:tc>
          <w:tcPr>
            <w:tcW w:w="1044" w:type="dxa"/>
            <w:tcBorders>
              <w:left w:val="nil"/>
              <w:right w:val="nil"/>
            </w:tcBorders>
          </w:tcPr>
          <w:p>
            <w:pPr>
              <w:pStyle w:val="TableParagraph"/>
              <w:spacing w:before="6"/>
              <w:rPr>
                <w:sz w:val="20"/>
              </w:rPr>
            </w:pPr>
          </w:p>
          <w:p>
            <w:pPr>
              <w:pStyle w:val="TableParagraph"/>
              <w:ind w:left="109"/>
              <w:rPr>
                <w:b/>
                <w:sz w:val="18"/>
              </w:rPr>
            </w:pPr>
            <w:r>
              <w:rPr>
                <w:b/>
                <w:sz w:val="18"/>
              </w:rPr>
              <w:t>Inhalt (4)</w:t>
            </w:r>
          </w:p>
        </w:tc>
        <w:tc>
          <w:tcPr>
            <w:tcW w:w="1044" w:type="dxa"/>
            <w:tcBorders>
              <w:left w:val="nil"/>
              <w:right w:val="nil"/>
            </w:tcBorders>
          </w:tcPr>
          <w:p>
            <w:pPr>
              <w:pStyle w:val="TableParagraph"/>
              <w:spacing w:before="27"/>
              <w:ind w:left="111" w:right="92"/>
              <w:rPr>
                <w:b/>
                <w:sz w:val="18"/>
              </w:rPr>
            </w:pPr>
            <w:r>
              <w:rPr>
                <w:b/>
                <w:sz w:val="18"/>
              </w:rPr>
              <w:t>Aufga- benforma te (5)</w:t>
            </w:r>
          </w:p>
        </w:tc>
        <w:tc>
          <w:tcPr>
            <w:tcW w:w="1047" w:type="dxa"/>
            <w:tcBorders>
              <w:left w:val="nil"/>
              <w:right w:val="nil"/>
            </w:tcBorders>
          </w:tcPr>
          <w:p>
            <w:pPr>
              <w:pStyle w:val="TableParagraph"/>
              <w:spacing w:line="207" w:lineRule="exact" w:before="133"/>
              <w:ind w:left="112"/>
              <w:rPr>
                <w:b/>
                <w:sz w:val="18"/>
              </w:rPr>
            </w:pPr>
            <w:r>
              <w:rPr>
                <w:b/>
                <w:sz w:val="18"/>
              </w:rPr>
              <w:t>Situation</w:t>
            </w:r>
          </w:p>
          <w:p>
            <w:pPr>
              <w:pStyle w:val="TableParagraph"/>
              <w:spacing w:line="207" w:lineRule="exact"/>
              <w:ind w:left="112"/>
              <w:rPr>
                <w:b/>
                <w:sz w:val="18"/>
              </w:rPr>
            </w:pPr>
            <w:r>
              <w:rPr>
                <w:b/>
                <w:sz w:val="18"/>
              </w:rPr>
              <w:t>/ Rolle (6)</w:t>
            </w:r>
          </w:p>
        </w:tc>
        <w:tc>
          <w:tcPr>
            <w:tcW w:w="1042" w:type="dxa"/>
            <w:tcBorders>
              <w:left w:val="nil"/>
              <w:right w:val="nil"/>
            </w:tcBorders>
          </w:tcPr>
          <w:p>
            <w:pPr>
              <w:pStyle w:val="TableParagraph"/>
              <w:spacing w:before="27"/>
              <w:ind w:left="111" w:right="164"/>
              <w:jc w:val="both"/>
              <w:rPr>
                <w:b/>
                <w:sz w:val="18"/>
              </w:rPr>
            </w:pPr>
            <w:r>
              <w:rPr>
                <w:b/>
                <w:sz w:val="18"/>
              </w:rPr>
              <w:t>Motivati- on / Voli- tion (7)</w:t>
            </w:r>
          </w:p>
        </w:tc>
      </w:tr>
      <w:tr>
        <w:trPr>
          <w:trHeight w:val="688" w:hRule="atLeast"/>
        </w:trPr>
        <w:tc>
          <w:tcPr>
            <w:tcW w:w="1949" w:type="dxa"/>
          </w:tcPr>
          <w:p>
            <w:pPr>
              <w:pStyle w:val="TableParagraph"/>
              <w:spacing w:before="131"/>
              <w:ind w:left="1360"/>
              <w:rPr>
                <w:b/>
                <w:sz w:val="18"/>
              </w:rPr>
            </w:pPr>
            <w:r>
              <w:rPr>
                <w:b/>
                <w:sz w:val="18"/>
              </w:rPr>
              <w:t>Autor</w:t>
            </w:r>
          </w:p>
          <w:p>
            <w:pPr>
              <w:pStyle w:val="TableParagraph"/>
              <w:spacing w:before="1"/>
              <w:ind w:left="107"/>
              <w:rPr>
                <w:b/>
                <w:sz w:val="18"/>
              </w:rPr>
            </w:pPr>
            <w:r>
              <w:rPr>
                <w:b/>
                <w:sz w:val="18"/>
              </w:rPr>
              <w:t>Studie</w:t>
            </w:r>
          </w:p>
        </w:tc>
        <w:tc>
          <w:tcPr>
            <w:tcW w:w="1045" w:type="dxa"/>
            <w:shd w:val="clear" w:color="auto" w:fill="EED2D2"/>
          </w:tcPr>
          <w:p>
            <w:pPr>
              <w:pStyle w:val="TableParagraph"/>
              <w:spacing w:before="135"/>
              <w:ind w:left="107" w:right="287"/>
              <w:rPr>
                <w:sz w:val="18"/>
              </w:rPr>
            </w:pPr>
            <w:r>
              <w:rPr>
                <w:sz w:val="18"/>
              </w:rPr>
              <w:t>Weinert 2001</w:t>
            </w:r>
          </w:p>
        </w:tc>
        <w:tc>
          <w:tcPr>
            <w:tcW w:w="1044" w:type="dxa"/>
            <w:shd w:val="clear" w:color="auto" w:fill="EED2D2"/>
          </w:tcPr>
          <w:p>
            <w:pPr>
              <w:pStyle w:val="TableParagraph"/>
              <w:tabs>
                <w:tab w:pos="816" w:val="left" w:leader="none"/>
              </w:tabs>
              <w:spacing w:before="32"/>
              <w:ind w:left="107" w:right="95"/>
              <w:rPr>
                <w:sz w:val="18"/>
              </w:rPr>
            </w:pPr>
            <w:r>
              <w:rPr>
                <w:sz w:val="18"/>
              </w:rPr>
              <w:t>Hartig</w:t>
              <w:tab/>
            </w:r>
            <w:r>
              <w:rPr>
                <w:spacing w:val="-18"/>
                <w:sz w:val="18"/>
              </w:rPr>
              <w:t>&amp; </w:t>
            </w:r>
            <w:r>
              <w:rPr>
                <w:sz w:val="18"/>
              </w:rPr>
              <w:t>Klieme 2007</w:t>
            </w:r>
          </w:p>
        </w:tc>
        <w:tc>
          <w:tcPr>
            <w:tcW w:w="1047" w:type="dxa"/>
            <w:shd w:val="clear" w:color="auto" w:fill="EED2D2"/>
          </w:tcPr>
          <w:p>
            <w:pPr>
              <w:pStyle w:val="TableParagraph"/>
              <w:tabs>
                <w:tab w:pos="816" w:val="left" w:leader="none"/>
              </w:tabs>
              <w:spacing w:before="32"/>
              <w:ind w:left="107" w:right="98"/>
              <w:rPr>
                <w:sz w:val="18"/>
              </w:rPr>
            </w:pPr>
            <w:r>
              <w:rPr>
                <w:sz w:val="18"/>
              </w:rPr>
              <w:t>Hartig</w:t>
              <w:tab/>
            </w:r>
            <w:r>
              <w:rPr>
                <w:spacing w:val="-18"/>
                <w:sz w:val="18"/>
              </w:rPr>
              <w:t>&amp; </w:t>
            </w:r>
            <w:r>
              <w:rPr>
                <w:sz w:val="18"/>
              </w:rPr>
              <w:t>Klieme 2007</w:t>
            </w:r>
          </w:p>
        </w:tc>
        <w:tc>
          <w:tcPr>
            <w:tcW w:w="1044" w:type="dxa"/>
            <w:shd w:val="clear" w:color="auto" w:fill="EED2D2"/>
          </w:tcPr>
          <w:p>
            <w:pPr>
              <w:pStyle w:val="TableParagraph"/>
              <w:tabs>
                <w:tab w:pos="814" w:val="left" w:leader="none"/>
              </w:tabs>
              <w:spacing w:before="32"/>
              <w:ind w:left="104" w:right="97"/>
              <w:rPr>
                <w:sz w:val="18"/>
              </w:rPr>
            </w:pPr>
            <w:r>
              <w:rPr>
                <w:sz w:val="18"/>
              </w:rPr>
              <w:t>Hartig</w:t>
              <w:tab/>
            </w:r>
            <w:r>
              <w:rPr>
                <w:spacing w:val="-18"/>
                <w:sz w:val="18"/>
              </w:rPr>
              <w:t>&amp; </w:t>
            </w:r>
            <w:r>
              <w:rPr>
                <w:sz w:val="18"/>
              </w:rPr>
              <w:t>Klieme 2007</w:t>
            </w:r>
          </w:p>
        </w:tc>
        <w:tc>
          <w:tcPr>
            <w:tcW w:w="1044" w:type="dxa"/>
            <w:shd w:val="clear" w:color="auto" w:fill="EED2D2"/>
          </w:tcPr>
          <w:p>
            <w:pPr>
              <w:pStyle w:val="TableParagraph"/>
              <w:spacing w:before="135"/>
              <w:ind w:left="106" w:right="357"/>
              <w:rPr>
                <w:sz w:val="18"/>
              </w:rPr>
            </w:pPr>
            <w:r>
              <w:rPr>
                <w:sz w:val="18"/>
              </w:rPr>
              <w:t>Klieme 2004</w:t>
            </w:r>
          </w:p>
        </w:tc>
        <w:tc>
          <w:tcPr>
            <w:tcW w:w="1047" w:type="dxa"/>
            <w:shd w:val="clear" w:color="auto" w:fill="EED2D2"/>
          </w:tcPr>
          <w:p>
            <w:pPr>
              <w:pStyle w:val="TableParagraph"/>
              <w:spacing w:before="135"/>
              <w:ind w:left="107" w:right="289"/>
              <w:rPr>
                <w:sz w:val="18"/>
              </w:rPr>
            </w:pPr>
            <w:r>
              <w:rPr>
                <w:sz w:val="18"/>
              </w:rPr>
              <w:t>Weinert 2001</w:t>
            </w:r>
          </w:p>
        </w:tc>
        <w:tc>
          <w:tcPr>
            <w:tcW w:w="1042" w:type="dxa"/>
            <w:shd w:val="clear" w:color="auto" w:fill="EED2D2"/>
          </w:tcPr>
          <w:p>
            <w:pPr>
              <w:pStyle w:val="TableParagraph"/>
              <w:spacing w:before="135"/>
              <w:ind w:left="106" w:right="285"/>
              <w:rPr>
                <w:sz w:val="18"/>
              </w:rPr>
            </w:pPr>
            <w:r>
              <w:rPr>
                <w:sz w:val="18"/>
              </w:rPr>
              <w:t>Weinert 2001</w:t>
            </w:r>
          </w:p>
        </w:tc>
      </w:tr>
      <w:tr>
        <w:trPr>
          <w:trHeight w:val="621" w:hRule="atLeast"/>
        </w:trPr>
        <w:tc>
          <w:tcPr>
            <w:tcW w:w="1949" w:type="dxa"/>
          </w:tcPr>
          <w:p>
            <w:pPr>
              <w:pStyle w:val="TableParagraph"/>
              <w:spacing w:line="206" w:lineRule="exact"/>
              <w:ind w:left="107"/>
              <w:rPr>
                <w:sz w:val="18"/>
              </w:rPr>
            </w:pPr>
            <w:r>
              <w:rPr>
                <w:sz w:val="18"/>
              </w:rPr>
              <w:t>PISA 2012 Financial</w:t>
            </w:r>
          </w:p>
          <w:p>
            <w:pPr>
              <w:pStyle w:val="TableParagraph"/>
              <w:spacing w:line="206" w:lineRule="exact" w:before="6"/>
              <w:ind w:left="107" w:right="181"/>
              <w:rPr>
                <w:sz w:val="18"/>
              </w:rPr>
            </w:pPr>
            <w:r>
              <w:rPr>
                <w:sz w:val="18"/>
              </w:rPr>
              <w:t>Literacy Framework, 2012</w:t>
            </w:r>
          </w:p>
        </w:tc>
        <w:tc>
          <w:tcPr>
            <w:tcW w:w="1045" w:type="dxa"/>
          </w:tcPr>
          <w:p>
            <w:pPr>
              <w:pStyle w:val="TableParagraph"/>
              <w:spacing w:before="7"/>
              <w:rPr>
                <w:sz w:val="17"/>
              </w:rPr>
            </w:pPr>
          </w:p>
          <w:p>
            <w:pPr>
              <w:pStyle w:val="TableParagraph"/>
              <w:ind w:left="107"/>
              <w:rPr>
                <w:b/>
                <w:sz w:val="18"/>
              </w:rPr>
            </w:pPr>
            <w:r>
              <w:rPr>
                <w:b/>
                <w:color w:val="00AF50"/>
                <w:sz w:val="18"/>
              </w:rPr>
              <w:t>Ja</w:t>
            </w:r>
          </w:p>
        </w:tc>
        <w:tc>
          <w:tcPr>
            <w:tcW w:w="1044" w:type="dxa"/>
          </w:tcPr>
          <w:p>
            <w:pPr>
              <w:pStyle w:val="TableParagraph"/>
              <w:spacing w:before="7"/>
              <w:rPr>
                <w:sz w:val="17"/>
              </w:rPr>
            </w:pPr>
          </w:p>
          <w:p>
            <w:pPr>
              <w:pStyle w:val="TableParagraph"/>
              <w:ind w:left="107"/>
              <w:rPr>
                <w:b/>
                <w:sz w:val="18"/>
              </w:rPr>
            </w:pPr>
            <w:r>
              <w:rPr>
                <w:b/>
                <w:color w:val="00AF50"/>
                <w:sz w:val="18"/>
              </w:rPr>
              <w:t>Ja</w:t>
            </w:r>
          </w:p>
        </w:tc>
        <w:tc>
          <w:tcPr>
            <w:tcW w:w="1047" w:type="dxa"/>
          </w:tcPr>
          <w:p>
            <w:pPr>
              <w:pStyle w:val="TableParagraph"/>
              <w:spacing w:before="7"/>
              <w:rPr>
                <w:sz w:val="17"/>
              </w:rPr>
            </w:pPr>
          </w:p>
          <w:p>
            <w:pPr>
              <w:pStyle w:val="TableParagraph"/>
              <w:ind w:left="107"/>
              <w:rPr>
                <w:b/>
                <w:sz w:val="18"/>
              </w:rPr>
            </w:pPr>
            <w:r>
              <w:rPr>
                <w:b/>
                <w:color w:val="00AF50"/>
                <w:sz w:val="18"/>
              </w:rPr>
              <w:t>Ja</w:t>
            </w:r>
          </w:p>
        </w:tc>
        <w:tc>
          <w:tcPr>
            <w:tcW w:w="1044" w:type="dxa"/>
          </w:tcPr>
          <w:p>
            <w:pPr>
              <w:pStyle w:val="TableParagraph"/>
              <w:spacing w:before="7"/>
              <w:rPr>
                <w:sz w:val="17"/>
              </w:rPr>
            </w:pPr>
          </w:p>
          <w:p>
            <w:pPr>
              <w:pStyle w:val="TableParagraph"/>
              <w:ind w:left="104"/>
              <w:rPr>
                <w:b/>
                <w:sz w:val="18"/>
              </w:rPr>
            </w:pPr>
            <w:r>
              <w:rPr>
                <w:b/>
                <w:color w:val="00AF50"/>
                <w:sz w:val="18"/>
              </w:rPr>
              <w:t>Ja</w:t>
            </w:r>
          </w:p>
        </w:tc>
        <w:tc>
          <w:tcPr>
            <w:tcW w:w="1044" w:type="dxa"/>
          </w:tcPr>
          <w:p>
            <w:pPr>
              <w:pStyle w:val="TableParagraph"/>
              <w:spacing w:line="201" w:lineRule="exact"/>
              <w:ind w:left="106"/>
              <w:rPr>
                <w:b/>
                <w:sz w:val="18"/>
              </w:rPr>
            </w:pPr>
            <w:r>
              <w:rPr>
                <w:b/>
                <w:color w:val="001F5F"/>
                <w:sz w:val="18"/>
              </w:rPr>
              <w:t>Nicht</w:t>
            </w:r>
          </w:p>
          <w:p>
            <w:pPr>
              <w:pStyle w:val="TableParagraph"/>
              <w:spacing w:line="206" w:lineRule="exact" w:before="6"/>
              <w:ind w:left="106" w:right="257"/>
              <w:rPr>
                <w:b/>
                <w:sz w:val="18"/>
              </w:rPr>
            </w:pPr>
            <w:r>
              <w:rPr>
                <w:b/>
                <w:color w:val="001F5F"/>
                <w:sz w:val="18"/>
              </w:rPr>
              <w:t>ersicht- lich</w:t>
            </w:r>
            <w:r>
              <w:rPr>
                <w:b/>
                <w:color w:val="001F5F"/>
                <w:sz w:val="18"/>
                <w:vertAlign w:val="superscript"/>
              </w:rPr>
              <w:t>2</w:t>
            </w:r>
          </w:p>
        </w:tc>
        <w:tc>
          <w:tcPr>
            <w:tcW w:w="1047" w:type="dxa"/>
          </w:tcPr>
          <w:p>
            <w:pPr>
              <w:pStyle w:val="TableParagraph"/>
              <w:spacing w:before="7"/>
              <w:rPr>
                <w:sz w:val="17"/>
              </w:rPr>
            </w:pPr>
          </w:p>
          <w:p>
            <w:pPr>
              <w:pStyle w:val="TableParagraph"/>
              <w:ind w:left="107"/>
              <w:rPr>
                <w:b/>
                <w:sz w:val="18"/>
              </w:rPr>
            </w:pPr>
            <w:r>
              <w:rPr>
                <w:b/>
                <w:color w:val="00AF50"/>
                <w:sz w:val="18"/>
              </w:rPr>
              <w:t>Ja</w:t>
            </w:r>
          </w:p>
        </w:tc>
        <w:tc>
          <w:tcPr>
            <w:tcW w:w="1042" w:type="dxa"/>
          </w:tcPr>
          <w:p>
            <w:pPr>
              <w:pStyle w:val="TableParagraph"/>
              <w:spacing w:before="7"/>
              <w:rPr>
                <w:sz w:val="17"/>
              </w:rPr>
            </w:pPr>
          </w:p>
          <w:p>
            <w:pPr>
              <w:pStyle w:val="TableParagraph"/>
              <w:ind w:left="106"/>
              <w:rPr>
                <w:b/>
                <w:sz w:val="18"/>
              </w:rPr>
            </w:pPr>
            <w:r>
              <w:rPr>
                <w:b/>
                <w:color w:val="00AF50"/>
                <w:sz w:val="18"/>
              </w:rPr>
              <w:t>Ja</w:t>
            </w:r>
          </w:p>
        </w:tc>
      </w:tr>
      <w:tr>
        <w:trPr>
          <w:trHeight w:val="1653" w:hRule="atLeast"/>
        </w:trPr>
        <w:tc>
          <w:tcPr>
            <w:tcW w:w="1949" w:type="dxa"/>
            <w:shd w:val="clear" w:color="auto" w:fill="EED2D2"/>
          </w:tcPr>
          <w:p>
            <w:pPr>
              <w:pStyle w:val="TableParagraph"/>
              <w:ind w:left="107" w:right="121"/>
              <w:rPr>
                <w:sz w:val="18"/>
              </w:rPr>
            </w:pPr>
            <w:r>
              <w:rPr>
                <w:sz w:val="18"/>
              </w:rPr>
              <w:t>Measuring Financial Literacy: Question- naire and Guidance Notes for Conducting an Internationally Comparable Survey</w:t>
            </w:r>
          </w:p>
          <w:p>
            <w:pPr>
              <w:pStyle w:val="TableParagraph"/>
              <w:spacing w:line="206" w:lineRule="exact" w:before="2"/>
              <w:ind w:left="107" w:right="161"/>
              <w:rPr>
                <w:sz w:val="18"/>
              </w:rPr>
            </w:pPr>
            <w:r>
              <w:rPr>
                <w:sz w:val="18"/>
              </w:rPr>
              <w:t>of Financial Literacy, OECD INFE, 2011</w:t>
            </w:r>
          </w:p>
        </w:tc>
        <w:tc>
          <w:tcPr>
            <w:tcW w:w="1045" w:type="dxa"/>
            <w:shd w:val="clear" w:color="auto" w:fill="EED2D2"/>
          </w:tcPr>
          <w:p>
            <w:pPr>
              <w:pStyle w:val="TableParagraph"/>
              <w:rPr>
                <w:sz w:val="24"/>
              </w:rPr>
            </w:pPr>
          </w:p>
          <w:p>
            <w:pPr>
              <w:pStyle w:val="TableParagraph"/>
              <w:spacing w:before="3"/>
              <w:rPr>
                <w:sz w:val="29"/>
              </w:rPr>
            </w:pPr>
          </w:p>
          <w:p>
            <w:pPr>
              <w:pStyle w:val="TableParagraph"/>
              <w:ind w:left="107" w:right="92"/>
              <w:rPr>
                <w:b/>
                <w:sz w:val="18"/>
              </w:rPr>
            </w:pPr>
            <w:r>
              <w:rPr>
                <w:b/>
                <w:color w:val="001F5F"/>
                <w:sz w:val="18"/>
              </w:rPr>
              <w:t>Einge- schränkt</w:t>
            </w:r>
            <w:r>
              <w:rPr>
                <w:b/>
                <w:color w:val="001F5F"/>
                <w:sz w:val="18"/>
                <w:vertAlign w:val="superscript"/>
              </w:rPr>
              <w:t>3</w:t>
            </w:r>
          </w:p>
        </w:tc>
        <w:tc>
          <w:tcPr>
            <w:tcW w:w="1044" w:type="dxa"/>
            <w:shd w:val="clear" w:color="auto" w:fill="EED2D2"/>
          </w:tcPr>
          <w:p>
            <w:pPr>
              <w:pStyle w:val="TableParagraph"/>
              <w:rPr>
                <w:sz w:val="20"/>
              </w:rPr>
            </w:pPr>
          </w:p>
          <w:p>
            <w:pPr>
              <w:pStyle w:val="TableParagraph"/>
              <w:rPr>
                <w:sz w:val="20"/>
              </w:rPr>
            </w:pPr>
          </w:p>
          <w:p>
            <w:pPr>
              <w:pStyle w:val="TableParagraph"/>
              <w:spacing w:before="153"/>
              <w:ind w:left="107" w:right="156"/>
              <w:rPr>
                <w:b/>
                <w:sz w:val="18"/>
              </w:rPr>
            </w:pPr>
            <w:r>
              <w:rPr>
                <w:b/>
                <w:color w:val="001F5F"/>
                <w:sz w:val="18"/>
              </w:rPr>
              <w:t>Einge- schränkt</w:t>
            </w:r>
          </w:p>
        </w:tc>
        <w:tc>
          <w:tcPr>
            <w:tcW w:w="1047" w:type="dxa"/>
            <w:shd w:val="clear" w:color="auto" w:fill="EED2D2"/>
          </w:tcPr>
          <w:p>
            <w:pPr>
              <w:pStyle w:val="TableParagraph"/>
              <w:rPr>
                <w:sz w:val="20"/>
              </w:rPr>
            </w:pPr>
          </w:p>
          <w:p>
            <w:pPr>
              <w:pStyle w:val="TableParagraph"/>
              <w:rPr>
                <w:sz w:val="20"/>
              </w:rPr>
            </w:pPr>
          </w:p>
          <w:p>
            <w:pPr>
              <w:pStyle w:val="TableParagraph"/>
              <w:spacing w:before="3"/>
              <w:rPr>
                <w:sz w:val="22"/>
              </w:rPr>
            </w:pPr>
          </w:p>
          <w:p>
            <w:pPr>
              <w:pStyle w:val="TableParagraph"/>
              <w:ind w:left="107"/>
              <w:rPr>
                <w:b/>
                <w:sz w:val="18"/>
              </w:rPr>
            </w:pPr>
            <w:r>
              <w:rPr>
                <w:b/>
                <w:color w:val="00AF50"/>
                <w:sz w:val="18"/>
              </w:rPr>
              <w:t>Ja</w:t>
            </w:r>
          </w:p>
        </w:tc>
        <w:tc>
          <w:tcPr>
            <w:tcW w:w="1044" w:type="dxa"/>
            <w:shd w:val="clear" w:color="auto" w:fill="EED2D2"/>
          </w:tcPr>
          <w:p>
            <w:pPr>
              <w:pStyle w:val="TableParagraph"/>
              <w:rPr>
                <w:sz w:val="20"/>
              </w:rPr>
            </w:pPr>
          </w:p>
          <w:p>
            <w:pPr>
              <w:pStyle w:val="TableParagraph"/>
              <w:rPr>
                <w:sz w:val="20"/>
              </w:rPr>
            </w:pPr>
          </w:p>
          <w:p>
            <w:pPr>
              <w:pStyle w:val="TableParagraph"/>
              <w:spacing w:before="3"/>
              <w:rPr>
                <w:sz w:val="22"/>
              </w:rPr>
            </w:pPr>
          </w:p>
          <w:p>
            <w:pPr>
              <w:pStyle w:val="TableParagraph"/>
              <w:ind w:left="104"/>
              <w:rPr>
                <w:b/>
                <w:sz w:val="18"/>
              </w:rPr>
            </w:pPr>
            <w:r>
              <w:rPr>
                <w:b/>
                <w:color w:val="00AF50"/>
                <w:sz w:val="18"/>
              </w:rPr>
              <w:t>Ja</w:t>
            </w:r>
          </w:p>
        </w:tc>
        <w:tc>
          <w:tcPr>
            <w:tcW w:w="1044" w:type="dxa"/>
            <w:shd w:val="clear" w:color="auto" w:fill="EED2D2"/>
          </w:tcPr>
          <w:p>
            <w:pPr>
              <w:pStyle w:val="TableParagraph"/>
              <w:rPr>
                <w:sz w:val="20"/>
              </w:rPr>
            </w:pPr>
          </w:p>
          <w:p>
            <w:pPr>
              <w:pStyle w:val="TableParagraph"/>
              <w:rPr>
                <w:sz w:val="20"/>
              </w:rPr>
            </w:pPr>
          </w:p>
          <w:p>
            <w:pPr>
              <w:pStyle w:val="TableParagraph"/>
              <w:spacing w:before="3"/>
              <w:rPr>
                <w:sz w:val="22"/>
              </w:rPr>
            </w:pPr>
          </w:p>
          <w:p>
            <w:pPr>
              <w:pStyle w:val="TableParagraph"/>
              <w:ind w:left="106"/>
              <w:rPr>
                <w:b/>
                <w:sz w:val="18"/>
              </w:rPr>
            </w:pPr>
            <w:r>
              <w:rPr>
                <w:b/>
                <w:color w:val="FF0000"/>
                <w:sz w:val="18"/>
              </w:rPr>
              <w:t>Nein</w:t>
            </w:r>
          </w:p>
        </w:tc>
        <w:tc>
          <w:tcPr>
            <w:tcW w:w="1047" w:type="dxa"/>
            <w:shd w:val="clear" w:color="auto" w:fill="EED2D2"/>
          </w:tcPr>
          <w:p>
            <w:pPr>
              <w:pStyle w:val="TableParagraph"/>
              <w:rPr>
                <w:sz w:val="20"/>
              </w:rPr>
            </w:pPr>
          </w:p>
          <w:p>
            <w:pPr>
              <w:pStyle w:val="TableParagraph"/>
              <w:rPr>
                <w:sz w:val="20"/>
              </w:rPr>
            </w:pPr>
          </w:p>
          <w:p>
            <w:pPr>
              <w:pStyle w:val="TableParagraph"/>
              <w:spacing w:before="153"/>
              <w:ind w:left="107" w:right="159"/>
              <w:rPr>
                <w:b/>
                <w:sz w:val="18"/>
              </w:rPr>
            </w:pPr>
            <w:r>
              <w:rPr>
                <w:b/>
                <w:color w:val="001F5F"/>
                <w:sz w:val="18"/>
              </w:rPr>
              <w:t>Einge- schränkt</w:t>
            </w:r>
          </w:p>
        </w:tc>
        <w:tc>
          <w:tcPr>
            <w:tcW w:w="1042" w:type="dxa"/>
            <w:shd w:val="clear" w:color="auto" w:fill="EED2D2"/>
          </w:tcPr>
          <w:p>
            <w:pPr>
              <w:pStyle w:val="TableParagraph"/>
              <w:rPr>
                <w:sz w:val="20"/>
              </w:rPr>
            </w:pPr>
          </w:p>
          <w:p>
            <w:pPr>
              <w:pStyle w:val="TableParagraph"/>
              <w:rPr>
                <w:sz w:val="20"/>
              </w:rPr>
            </w:pPr>
          </w:p>
          <w:p>
            <w:pPr>
              <w:pStyle w:val="TableParagraph"/>
              <w:spacing w:before="3"/>
              <w:rPr>
                <w:sz w:val="22"/>
              </w:rPr>
            </w:pPr>
          </w:p>
          <w:p>
            <w:pPr>
              <w:pStyle w:val="TableParagraph"/>
              <w:ind w:left="106"/>
              <w:rPr>
                <w:b/>
                <w:sz w:val="18"/>
              </w:rPr>
            </w:pPr>
            <w:r>
              <w:rPr>
                <w:b/>
                <w:color w:val="00AF50"/>
                <w:sz w:val="18"/>
              </w:rPr>
              <w:t>Ja</w:t>
            </w:r>
          </w:p>
        </w:tc>
      </w:tr>
      <w:tr>
        <w:trPr>
          <w:trHeight w:val="1034" w:hRule="atLeast"/>
        </w:trPr>
        <w:tc>
          <w:tcPr>
            <w:tcW w:w="1949" w:type="dxa"/>
          </w:tcPr>
          <w:p>
            <w:pPr>
              <w:pStyle w:val="TableParagraph"/>
              <w:ind w:left="107" w:right="398"/>
              <w:jc w:val="both"/>
              <w:rPr>
                <w:sz w:val="18"/>
              </w:rPr>
            </w:pPr>
            <w:r>
              <w:rPr>
                <w:sz w:val="18"/>
              </w:rPr>
              <w:t>Financial Literacy around the World: An overview ,</w:t>
            </w:r>
          </w:p>
          <w:p>
            <w:pPr>
              <w:pStyle w:val="TableParagraph"/>
              <w:spacing w:line="206" w:lineRule="exact" w:before="1"/>
              <w:ind w:left="107" w:right="511"/>
              <w:rPr>
                <w:sz w:val="18"/>
              </w:rPr>
            </w:pPr>
            <w:r>
              <w:rPr>
                <w:sz w:val="18"/>
              </w:rPr>
              <w:t>Lusardi/Mitchell, 2011</w:t>
            </w:r>
          </w:p>
        </w:tc>
        <w:tc>
          <w:tcPr>
            <w:tcW w:w="1045" w:type="dxa"/>
          </w:tcPr>
          <w:p>
            <w:pPr>
              <w:pStyle w:val="TableParagraph"/>
              <w:spacing w:before="4"/>
              <w:rPr>
                <w:sz w:val="26"/>
              </w:rPr>
            </w:pPr>
          </w:p>
          <w:p>
            <w:pPr>
              <w:pStyle w:val="TableParagraph"/>
              <w:ind w:left="107" w:right="157"/>
              <w:rPr>
                <w:b/>
                <w:sz w:val="18"/>
              </w:rPr>
            </w:pPr>
            <w:r>
              <w:rPr>
                <w:b/>
                <w:color w:val="001F5F"/>
                <w:sz w:val="18"/>
              </w:rPr>
              <w:t>Einge- schränkt</w:t>
            </w:r>
          </w:p>
        </w:tc>
        <w:tc>
          <w:tcPr>
            <w:tcW w:w="1044" w:type="dxa"/>
          </w:tcPr>
          <w:p>
            <w:pPr>
              <w:pStyle w:val="TableParagraph"/>
              <w:rPr>
                <w:sz w:val="20"/>
              </w:rPr>
            </w:pPr>
          </w:p>
          <w:p>
            <w:pPr>
              <w:pStyle w:val="TableParagraph"/>
              <w:spacing w:before="177"/>
              <w:ind w:left="107"/>
              <w:rPr>
                <w:b/>
                <w:sz w:val="18"/>
              </w:rPr>
            </w:pPr>
            <w:r>
              <w:rPr>
                <w:b/>
                <w:color w:val="FF0000"/>
                <w:sz w:val="18"/>
              </w:rPr>
              <w:t>Nein</w:t>
            </w:r>
          </w:p>
        </w:tc>
        <w:tc>
          <w:tcPr>
            <w:tcW w:w="1047" w:type="dxa"/>
          </w:tcPr>
          <w:p>
            <w:pPr>
              <w:pStyle w:val="TableParagraph"/>
              <w:rPr>
                <w:sz w:val="20"/>
              </w:rPr>
            </w:pPr>
          </w:p>
          <w:p>
            <w:pPr>
              <w:pStyle w:val="TableParagraph"/>
              <w:spacing w:before="177"/>
              <w:ind w:left="107"/>
              <w:rPr>
                <w:b/>
                <w:sz w:val="18"/>
              </w:rPr>
            </w:pPr>
            <w:r>
              <w:rPr>
                <w:b/>
                <w:color w:val="00AF50"/>
                <w:sz w:val="18"/>
              </w:rPr>
              <w:t>Ja</w:t>
            </w:r>
          </w:p>
        </w:tc>
        <w:tc>
          <w:tcPr>
            <w:tcW w:w="1044" w:type="dxa"/>
          </w:tcPr>
          <w:p>
            <w:pPr>
              <w:pStyle w:val="TableParagraph"/>
              <w:rPr>
                <w:sz w:val="20"/>
              </w:rPr>
            </w:pPr>
          </w:p>
          <w:p>
            <w:pPr>
              <w:pStyle w:val="TableParagraph"/>
              <w:spacing w:before="177"/>
              <w:ind w:left="104"/>
              <w:rPr>
                <w:b/>
                <w:sz w:val="18"/>
              </w:rPr>
            </w:pPr>
            <w:r>
              <w:rPr>
                <w:b/>
                <w:color w:val="00AF50"/>
                <w:sz w:val="18"/>
              </w:rPr>
              <w:t>Ja</w:t>
            </w:r>
          </w:p>
        </w:tc>
        <w:tc>
          <w:tcPr>
            <w:tcW w:w="1044" w:type="dxa"/>
          </w:tcPr>
          <w:p>
            <w:pPr>
              <w:pStyle w:val="TableParagraph"/>
              <w:rPr>
                <w:sz w:val="20"/>
              </w:rPr>
            </w:pPr>
          </w:p>
          <w:p>
            <w:pPr>
              <w:pStyle w:val="TableParagraph"/>
              <w:spacing w:before="177"/>
              <w:ind w:left="106"/>
              <w:rPr>
                <w:b/>
                <w:sz w:val="18"/>
              </w:rPr>
            </w:pPr>
            <w:r>
              <w:rPr>
                <w:b/>
                <w:color w:val="FF0000"/>
                <w:sz w:val="18"/>
              </w:rPr>
              <w:t>Nein</w:t>
            </w:r>
          </w:p>
        </w:tc>
        <w:tc>
          <w:tcPr>
            <w:tcW w:w="1047" w:type="dxa"/>
          </w:tcPr>
          <w:p>
            <w:pPr>
              <w:pStyle w:val="TableParagraph"/>
              <w:rPr>
                <w:sz w:val="20"/>
              </w:rPr>
            </w:pPr>
          </w:p>
          <w:p>
            <w:pPr>
              <w:pStyle w:val="TableParagraph"/>
              <w:spacing w:before="177"/>
              <w:ind w:left="107"/>
              <w:rPr>
                <w:b/>
                <w:sz w:val="18"/>
              </w:rPr>
            </w:pPr>
            <w:r>
              <w:rPr>
                <w:b/>
                <w:color w:val="FF0000"/>
                <w:sz w:val="18"/>
              </w:rPr>
              <w:t>Nein</w:t>
            </w:r>
          </w:p>
        </w:tc>
        <w:tc>
          <w:tcPr>
            <w:tcW w:w="1042" w:type="dxa"/>
          </w:tcPr>
          <w:p>
            <w:pPr>
              <w:pStyle w:val="TableParagraph"/>
              <w:spacing w:before="4"/>
              <w:rPr>
                <w:sz w:val="26"/>
              </w:rPr>
            </w:pPr>
          </w:p>
          <w:p>
            <w:pPr>
              <w:pStyle w:val="TableParagraph"/>
              <w:ind w:left="106" w:right="155"/>
              <w:rPr>
                <w:b/>
                <w:sz w:val="18"/>
              </w:rPr>
            </w:pPr>
            <w:r>
              <w:rPr>
                <w:b/>
                <w:color w:val="001F5F"/>
                <w:sz w:val="18"/>
              </w:rPr>
              <w:t>Einge- schränkt</w:t>
            </w:r>
          </w:p>
        </w:tc>
      </w:tr>
      <w:tr>
        <w:trPr>
          <w:trHeight w:val="827" w:hRule="atLeast"/>
        </w:trPr>
        <w:tc>
          <w:tcPr>
            <w:tcW w:w="1949" w:type="dxa"/>
            <w:shd w:val="clear" w:color="auto" w:fill="EED2D2"/>
          </w:tcPr>
          <w:p>
            <w:pPr>
              <w:pStyle w:val="TableParagraph"/>
              <w:ind w:left="107" w:right="221"/>
              <w:rPr>
                <w:sz w:val="18"/>
              </w:rPr>
            </w:pPr>
            <w:r>
              <w:rPr>
                <w:sz w:val="18"/>
              </w:rPr>
              <w:t>Financial Literacy and Subprime Mort- gage Delinquency,</w:t>
            </w:r>
          </w:p>
          <w:p>
            <w:pPr>
              <w:pStyle w:val="TableParagraph"/>
              <w:spacing w:line="187" w:lineRule="exact"/>
              <w:ind w:left="107"/>
              <w:rPr>
                <w:sz w:val="18"/>
              </w:rPr>
            </w:pPr>
            <w:r>
              <w:rPr>
                <w:sz w:val="18"/>
              </w:rPr>
              <w:t>Geradi et al, 2010</w:t>
            </w:r>
          </w:p>
        </w:tc>
        <w:tc>
          <w:tcPr>
            <w:tcW w:w="1045" w:type="dxa"/>
            <w:shd w:val="clear" w:color="auto" w:fill="EED2D2"/>
          </w:tcPr>
          <w:p>
            <w:pPr>
              <w:pStyle w:val="TableParagraph"/>
              <w:spacing w:before="5"/>
              <w:rPr>
                <w:sz w:val="17"/>
              </w:rPr>
            </w:pPr>
          </w:p>
          <w:p>
            <w:pPr>
              <w:pStyle w:val="TableParagraph"/>
              <w:ind w:left="107" w:right="157"/>
              <w:rPr>
                <w:b/>
                <w:sz w:val="18"/>
              </w:rPr>
            </w:pPr>
            <w:r>
              <w:rPr>
                <w:b/>
                <w:color w:val="001F5F"/>
                <w:sz w:val="18"/>
              </w:rPr>
              <w:t>Einge- schränkt</w:t>
            </w:r>
          </w:p>
        </w:tc>
        <w:tc>
          <w:tcPr>
            <w:tcW w:w="1044" w:type="dxa"/>
            <w:shd w:val="clear" w:color="auto" w:fill="EED2D2"/>
          </w:tcPr>
          <w:p>
            <w:pPr>
              <w:pStyle w:val="TableParagraph"/>
              <w:spacing w:before="5"/>
              <w:rPr>
                <w:sz w:val="17"/>
              </w:rPr>
            </w:pPr>
          </w:p>
          <w:p>
            <w:pPr>
              <w:pStyle w:val="TableParagraph"/>
              <w:ind w:left="107" w:right="156"/>
              <w:rPr>
                <w:b/>
                <w:sz w:val="18"/>
              </w:rPr>
            </w:pPr>
            <w:r>
              <w:rPr>
                <w:b/>
                <w:color w:val="001F5F"/>
                <w:sz w:val="18"/>
              </w:rPr>
              <w:t>Einge- schränkt</w:t>
            </w:r>
          </w:p>
        </w:tc>
        <w:tc>
          <w:tcPr>
            <w:tcW w:w="1047" w:type="dxa"/>
            <w:shd w:val="clear" w:color="auto" w:fill="EED2D2"/>
          </w:tcPr>
          <w:p>
            <w:pPr>
              <w:pStyle w:val="TableParagraph"/>
              <w:spacing w:before="4"/>
              <w:rPr>
                <w:sz w:val="26"/>
              </w:rPr>
            </w:pPr>
          </w:p>
          <w:p>
            <w:pPr>
              <w:pStyle w:val="TableParagraph"/>
              <w:ind w:left="107"/>
              <w:rPr>
                <w:b/>
                <w:sz w:val="18"/>
              </w:rPr>
            </w:pPr>
            <w:r>
              <w:rPr>
                <w:b/>
                <w:color w:val="00AF50"/>
                <w:sz w:val="18"/>
              </w:rPr>
              <w:t>Ja</w:t>
            </w:r>
          </w:p>
        </w:tc>
        <w:tc>
          <w:tcPr>
            <w:tcW w:w="1044" w:type="dxa"/>
            <w:shd w:val="clear" w:color="auto" w:fill="EED2D2"/>
          </w:tcPr>
          <w:p>
            <w:pPr>
              <w:pStyle w:val="TableParagraph"/>
              <w:spacing w:before="4"/>
              <w:rPr>
                <w:sz w:val="26"/>
              </w:rPr>
            </w:pPr>
          </w:p>
          <w:p>
            <w:pPr>
              <w:pStyle w:val="TableParagraph"/>
              <w:ind w:left="104"/>
              <w:rPr>
                <w:b/>
                <w:sz w:val="18"/>
              </w:rPr>
            </w:pPr>
            <w:r>
              <w:rPr>
                <w:b/>
                <w:color w:val="00AF50"/>
                <w:sz w:val="18"/>
              </w:rPr>
              <w:t>Ja</w:t>
            </w:r>
          </w:p>
        </w:tc>
        <w:tc>
          <w:tcPr>
            <w:tcW w:w="1044" w:type="dxa"/>
            <w:shd w:val="clear" w:color="auto" w:fill="EED2D2"/>
          </w:tcPr>
          <w:p>
            <w:pPr>
              <w:pStyle w:val="TableParagraph"/>
              <w:spacing w:before="4"/>
              <w:rPr>
                <w:sz w:val="26"/>
              </w:rPr>
            </w:pPr>
          </w:p>
          <w:p>
            <w:pPr>
              <w:pStyle w:val="TableParagraph"/>
              <w:ind w:left="106"/>
              <w:rPr>
                <w:b/>
                <w:sz w:val="18"/>
              </w:rPr>
            </w:pPr>
            <w:r>
              <w:rPr>
                <w:b/>
                <w:color w:val="FF0000"/>
                <w:sz w:val="18"/>
              </w:rPr>
              <w:t>Nein</w:t>
            </w:r>
          </w:p>
        </w:tc>
        <w:tc>
          <w:tcPr>
            <w:tcW w:w="1047" w:type="dxa"/>
            <w:shd w:val="clear" w:color="auto" w:fill="EED2D2"/>
          </w:tcPr>
          <w:p>
            <w:pPr>
              <w:pStyle w:val="TableParagraph"/>
              <w:spacing w:before="4"/>
              <w:rPr>
                <w:sz w:val="26"/>
              </w:rPr>
            </w:pPr>
          </w:p>
          <w:p>
            <w:pPr>
              <w:pStyle w:val="TableParagraph"/>
              <w:ind w:left="107"/>
              <w:rPr>
                <w:b/>
                <w:sz w:val="18"/>
              </w:rPr>
            </w:pPr>
            <w:r>
              <w:rPr>
                <w:b/>
                <w:color w:val="FF0000"/>
                <w:sz w:val="18"/>
              </w:rPr>
              <w:t>Nein</w:t>
            </w:r>
          </w:p>
        </w:tc>
        <w:tc>
          <w:tcPr>
            <w:tcW w:w="1042" w:type="dxa"/>
            <w:shd w:val="clear" w:color="auto" w:fill="EED2D2"/>
          </w:tcPr>
          <w:p>
            <w:pPr>
              <w:pStyle w:val="TableParagraph"/>
              <w:spacing w:before="5"/>
              <w:rPr>
                <w:sz w:val="17"/>
              </w:rPr>
            </w:pPr>
          </w:p>
          <w:p>
            <w:pPr>
              <w:pStyle w:val="TableParagraph"/>
              <w:ind w:left="106" w:right="155"/>
              <w:rPr>
                <w:b/>
                <w:sz w:val="18"/>
              </w:rPr>
            </w:pPr>
            <w:r>
              <w:rPr>
                <w:b/>
                <w:color w:val="001F5F"/>
                <w:sz w:val="18"/>
              </w:rPr>
              <w:t>Einge- schränkt</w:t>
            </w:r>
          </w:p>
        </w:tc>
      </w:tr>
      <w:tr>
        <w:trPr>
          <w:trHeight w:val="827" w:hRule="atLeast"/>
        </w:trPr>
        <w:tc>
          <w:tcPr>
            <w:tcW w:w="1949" w:type="dxa"/>
          </w:tcPr>
          <w:p>
            <w:pPr>
              <w:pStyle w:val="TableParagraph"/>
              <w:ind w:left="107" w:right="211"/>
              <w:rPr>
                <w:sz w:val="18"/>
              </w:rPr>
            </w:pPr>
            <w:r>
              <w:rPr>
                <w:sz w:val="18"/>
              </w:rPr>
              <w:t>Financial Literacy and Indebtness, Disney/Gathergood,</w:t>
            </w:r>
          </w:p>
          <w:p>
            <w:pPr>
              <w:pStyle w:val="TableParagraph"/>
              <w:spacing w:line="187" w:lineRule="exact"/>
              <w:ind w:left="107"/>
              <w:rPr>
                <w:sz w:val="18"/>
              </w:rPr>
            </w:pPr>
            <w:r>
              <w:rPr>
                <w:sz w:val="18"/>
              </w:rPr>
              <w:t>2011</w:t>
            </w:r>
          </w:p>
        </w:tc>
        <w:tc>
          <w:tcPr>
            <w:tcW w:w="1045" w:type="dxa"/>
          </w:tcPr>
          <w:p>
            <w:pPr>
              <w:pStyle w:val="TableParagraph"/>
              <w:spacing w:before="5"/>
              <w:rPr>
                <w:sz w:val="17"/>
              </w:rPr>
            </w:pPr>
          </w:p>
          <w:p>
            <w:pPr>
              <w:pStyle w:val="TableParagraph"/>
              <w:ind w:left="107" w:right="157"/>
              <w:rPr>
                <w:b/>
                <w:sz w:val="18"/>
              </w:rPr>
            </w:pPr>
            <w:r>
              <w:rPr>
                <w:b/>
                <w:color w:val="001F5F"/>
                <w:sz w:val="18"/>
              </w:rPr>
              <w:t>Einge- schränkt</w:t>
            </w:r>
          </w:p>
        </w:tc>
        <w:tc>
          <w:tcPr>
            <w:tcW w:w="1044" w:type="dxa"/>
          </w:tcPr>
          <w:p>
            <w:pPr>
              <w:pStyle w:val="TableParagraph"/>
              <w:spacing w:before="4"/>
              <w:rPr>
                <w:sz w:val="26"/>
              </w:rPr>
            </w:pPr>
          </w:p>
          <w:p>
            <w:pPr>
              <w:pStyle w:val="TableParagraph"/>
              <w:ind w:left="107"/>
              <w:rPr>
                <w:b/>
                <w:sz w:val="18"/>
              </w:rPr>
            </w:pPr>
            <w:r>
              <w:rPr>
                <w:b/>
                <w:color w:val="FF0000"/>
                <w:sz w:val="18"/>
              </w:rPr>
              <w:t>Nein</w:t>
            </w:r>
          </w:p>
        </w:tc>
        <w:tc>
          <w:tcPr>
            <w:tcW w:w="1047" w:type="dxa"/>
          </w:tcPr>
          <w:p>
            <w:pPr>
              <w:pStyle w:val="TableParagraph"/>
              <w:spacing w:before="4"/>
              <w:rPr>
                <w:sz w:val="26"/>
              </w:rPr>
            </w:pPr>
          </w:p>
          <w:p>
            <w:pPr>
              <w:pStyle w:val="TableParagraph"/>
              <w:ind w:left="107"/>
              <w:rPr>
                <w:b/>
                <w:sz w:val="18"/>
              </w:rPr>
            </w:pPr>
            <w:r>
              <w:rPr>
                <w:b/>
                <w:color w:val="00AF50"/>
                <w:sz w:val="18"/>
              </w:rPr>
              <w:t>Ja</w:t>
            </w:r>
          </w:p>
        </w:tc>
        <w:tc>
          <w:tcPr>
            <w:tcW w:w="1044" w:type="dxa"/>
          </w:tcPr>
          <w:p>
            <w:pPr>
              <w:pStyle w:val="TableParagraph"/>
              <w:spacing w:before="4"/>
              <w:rPr>
                <w:sz w:val="26"/>
              </w:rPr>
            </w:pPr>
          </w:p>
          <w:p>
            <w:pPr>
              <w:pStyle w:val="TableParagraph"/>
              <w:ind w:left="104"/>
              <w:rPr>
                <w:b/>
                <w:sz w:val="18"/>
              </w:rPr>
            </w:pPr>
            <w:r>
              <w:rPr>
                <w:b/>
                <w:color w:val="00AF50"/>
                <w:sz w:val="18"/>
              </w:rPr>
              <w:t>Ja</w:t>
            </w:r>
          </w:p>
        </w:tc>
        <w:tc>
          <w:tcPr>
            <w:tcW w:w="1044" w:type="dxa"/>
          </w:tcPr>
          <w:p>
            <w:pPr>
              <w:pStyle w:val="TableParagraph"/>
              <w:spacing w:before="4"/>
              <w:rPr>
                <w:sz w:val="26"/>
              </w:rPr>
            </w:pPr>
          </w:p>
          <w:p>
            <w:pPr>
              <w:pStyle w:val="TableParagraph"/>
              <w:ind w:left="106"/>
              <w:rPr>
                <w:b/>
                <w:sz w:val="18"/>
              </w:rPr>
            </w:pPr>
            <w:r>
              <w:rPr>
                <w:b/>
                <w:color w:val="FF0000"/>
                <w:sz w:val="18"/>
              </w:rPr>
              <w:t>Nein</w:t>
            </w:r>
          </w:p>
        </w:tc>
        <w:tc>
          <w:tcPr>
            <w:tcW w:w="1047" w:type="dxa"/>
          </w:tcPr>
          <w:p>
            <w:pPr>
              <w:pStyle w:val="TableParagraph"/>
              <w:spacing w:before="4"/>
              <w:rPr>
                <w:sz w:val="26"/>
              </w:rPr>
            </w:pPr>
          </w:p>
          <w:p>
            <w:pPr>
              <w:pStyle w:val="TableParagraph"/>
              <w:ind w:left="107"/>
              <w:rPr>
                <w:b/>
                <w:sz w:val="18"/>
              </w:rPr>
            </w:pPr>
            <w:r>
              <w:rPr>
                <w:b/>
                <w:color w:val="FF0000"/>
                <w:sz w:val="18"/>
              </w:rPr>
              <w:t>Nein</w:t>
            </w:r>
          </w:p>
        </w:tc>
        <w:tc>
          <w:tcPr>
            <w:tcW w:w="1042" w:type="dxa"/>
          </w:tcPr>
          <w:p>
            <w:pPr>
              <w:pStyle w:val="TableParagraph"/>
              <w:spacing w:before="5"/>
              <w:rPr>
                <w:sz w:val="17"/>
              </w:rPr>
            </w:pPr>
          </w:p>
          <w:p>
            <w:pPr>
              <w:pStyle w:val="TableParagraph"/>
              <w:ind w:left="106" w:right="155"/>
              <w:rPr>
                <w:b/>
                <w:sz w:val="18"/>
              </w:rPr>
            </w:pPr>
            <w:r>
              <w:rPr>
                <w:b/>
                <w:color w:val="001F5F"/>
                <w:sz w:val="18"/>
              </w:rPr>
              <w:t>Einge- schränkt</w:t>
            </w:r>
          </w:p>
        </w:tc>
      </w:tr>
      <w:tr>
        <w:trPr>
          <w:trHeight w:val="1034" w:hRule="atLeast"/>
        </w:trPr>
        <w:tc>
          <w:tcPr>
            <w:tcW w:w="1949" w:type="dxa"/>
            <w:shd w:val="clear" w:color="auto" w:fill="EED2D2"/>
          </w:tcPr>
          <w:p>
            <w:pPr>
              <w:pStyle w:val="TableParagraph"/>
              <w:ind w:left="107" w:right="468"/>
              <w:rPr>
                <w:sz w:val="18"/>
              </w:rPr>
            </w:pPr>
            <w:r>
              <w:rPr>
                <w:sz w:val="18"/>
              </w:rPr>
              <w:t>ING International Survey results on financial competence,</w:t>
            </w:r>
          </w:p>
          <w:p>
            <w:pPr>
              <w:pStyle w:val="TableParagraph"/>
              <w:spacing w:line="187" w:lineRule="exact"/>
              <w:ind w:left="107"/>
              <w:rPr>
                <w:sz w:val="18"/>
              </w:rPr>
            </w:pPr>
            <w:r>
              <w:rPr>
                <w:sz w:val="18"/>
              </w:rPr>
              <w:t>Bright/Keller, 2012</w:t>
            </w:r>
          </w:p>
        </w:tc>
        <w:tc>
          <w:tcPr>
            <w:tcW w:w="1045" w:type="dxa"/>
            <w:shd w:val="clear" w:color="auto" w:fill="EED2D2"/>
          </w:tcPr>
          <w:p>
            <w:pPr>
              <w:pStyle w:val="TableParagraph"/>
              <w:spacing w:before="5"/>
              <w:rPr>
                <w:sz w:val="26"/>
              </w:rPr>
            </w:pPr>
          </w:p>
          <w:p>
            <w:pPr>
              <w:pStyle w:val="TableParagraph"/>
              <w:ind w:left="107" w:right="157"/>
              <w:rPr>
                <w:b/>
                <w:sz w:val="18"/>
              </w:rPr>
            </w:pPr>
            <w:r>
              <w:rPr>
                <w:b/>
                <w:color w:val="001F5F"/>
                <w:sz w:val="18"/>
              </w:rPr>
              <w:t>Einge- schränkt</w:t>
            </w:r>
          </w:p>
        </w:tc>
        <w:tc>
          <w:tcPr>
            <w:tcW w:w="1044" w:type="dxa"/>
            <w:shd w:val="clear" w:color="auto" w:fill="EED2D2"/>
          </w:tcPr>
          <w:p>
            <w:pPr>
              <w:pStyle w:val="TableParagraph"/>
              <w:rPr>
                <w:sz w:val="20"/>
              </w:rPr>
            </w:pPr>
          </w:p>
          <w:p>
            <w:pPr>
              <w:pStyle w:val="TableParagraph"/>
              <w:spacing w:before="179"/>
              <w:ind w:left="107"/>
              <w:rPr>
                <w:b/>
                <w:sz w:val="18"/>
              </w:rPr>
            </w:pPr>
            <w:r>
              <w:rPr>
                <w:b/>
                <w:color w:val="FF0000"/>
                <w:sz w:val="18"/>
              </w:rPr>
              <w:t>Nein</w:t>
            </w:r>
          </w:p>
        </w:tc>
        <w:tc>
          <w:tcPr>
            <w:tcW w:w="1047" w:type="dxa"/>
            <w:shd w:val="clear" w:color="auto" w:fill="EED2D2"/>
          </w:tcPr>
          <w:p>
            <w:pPr>
              <w:pStyle w:val="TableParagraph"/>
              <w:rPr>
                <w:sz w:val="20"/>
              </w:rPr>
            </w:pPr>
          </w:p>
          <w:p>
            <w:pPr>
              <w:pStyle w:val="TableParagraph"/>
              <w:spacing w:before="179"/>
              <w:ind w:left="107"/>
              <w:rPr>
                <w:b/>
                <w:sz w:val="18"/>
              </w:rPr>
            </w:pPr>
            <w:r>
              <w:rPr>
                <w:b/>
                <w:color w:val="00AF50"/>
                <w:sz w:val="18"/>
              </w:rPr>
              <w:t>Ja</w:t>
            </w:r>
          </w:p>
        </w:tc>
        <w:tc>
          <w:tcPr>
            <w:tcW w:w="1044" w:type="dxa"/>
            <w:shd w:val="clear" w:color="auto" w:fill="EED2D2"/>
          </w:tcPr>
          <w:p>
            <w:pPr>
              <w:pStyle w:val="TableParagraph"/>
              <w:rPr>
                <w:sz w:val="20"/>
              </w:rPr>
            </w:pPr>
          </w:p>
          <w:p>
            <w:pPr>
              <w:pStyle w:val="TableParagraph"/>
              <w:spacing w:before="179"/>
              <w:ind w:left="104"/>
              <w:rPr>
                <w:b/>
                <w:sz w:val="18"/>
              </w:rPr>
            </w:pPr>
            <w:r>
              <w:rPr>
                <w:b/>
                <w:color w:val="00AF50"/>
                <w:sz w:val="18"/>
              </w:rPr>
              <w:t>Ja</w:t>
            </w:r>
          </w:p>
        </w:tc>
        <w:tc>
          <w:tcPr>
            <w:tcW w:w="1044" w:type="dxa"/>
            <w:shd w:val="clear" w:color="auto" w:fill="EED2D2"/>
          </w:tcPr>
          <w:p>
            <w:pPr>
              <w:pStyle w:val="TableParagraph"/>
              <w:rPr>
                <w:sz w:val="20"/>
              </w:rPr>
            </w:pPr>
          </w:p>
          <w:p>
            <w:pPr>
              <w:pStyle w:val="TableParagraph"/>
              <w:spacing w:before="179"/>
              <w:ind w:left="106"/>
              <w:rPr>
                <w:b/>
                <w:sz w:val="18"/>
              </w:rPr>
            </w:pPr>
            <w:r>
              <w:rPr>
                <w:b/>
                <w:color w:val="FF0000"/>
                <w:sz w:val="18"/>
              </w:rPr>
              <w:t>Nein</w:t>
            </w:r>
          </w:p>
        </w:tc>
        <w:tc>
          <w:tcPr>
            <w:tcW w:w="1047" w:type="dxa"/>
            <w:shd w:val="clear" w:color="auto" w:fill="EED2D2"/>
          </w:tcPr>
          <w:p>
            <w:pPr>
              <w:pStyle w:val="TableParagraph"/>
              <w:rPr>
                <w:sz w:val="20"/>
              </w:rPr>
            </w:pPr>
          </w:p>
          <w:p>
            <w:pPr>
              <w:pStyle w:val="TableParagraph"/>
              <w:spacing w:before="179"/>
              <w:ind w:left="107"/>
              <w:rPr>
                <w:b/>
                <w:sz w:val="18"/>
              </w:rPr>
            </w:pPr>
            <w:r>
              <w:rPr>
                <w:b/>
                <w:color w:val="FF0000"/>
                <w:sz w:val="18"/>
              </w:rPr>
              <w:t>Nein</w:t>
            </w:r>
          </w:p>
        </w:tc>
        <w:tc>
          <w:tcPr>
            <w:tcW w:w="1042" w:type="dxa"/>
            <w:shd w:val="clear" w:color="auto" w:fill="EED2D2"/>
          </w:tcPr>
          <w:p>
            <w:pPr>
              <w:pStyle w:val="TableParagraph"/>
              <w:rPr>
                <w:sz w:val="20"/>
              </w:rPr>
            </w:pPr>
          </w:p>
          <w:p>
            <w:pPr>
              <w:pStyle w:val="TableParagraph"/>
              <w:spacing w:before="179"/>
              <w:ind w:left="106"/>
              <w:rPr>
                <w:b/>
                <w:sz w:val="18"/>
              </w:rPr>
            </w:pPr>
            <w:r>
              <w:rPr>
                <w:b/>
                <w:color w:val="FF0000"/>
                <w:sz w:val="18"/>
              </w:rPr>
              <w:t>Nein</w:t>
            </w:r>
          </w:p>
        </w:tc>
      </w:tr>
      <w:tr>
        <w:trPr>
          <w:trHeight w:val="1242" w:hRule="atLeast"/>
        </w:trPr>
        <w:tc>
          <w:tcPr>
            <w:tcW w:w="1949" w:type="dxa"/>
          </w:tcPr>
          <w:p>
            <w:pPr>
              <w:pStyle w:val="TableParagraph"/>
              <w:ind w:left="107" w:right="148"/>
              <w:rPr>
                <w:sz w:val="18"/>
              </w:rPr>
            </w:pPr>
            <w:r>
              <w:rPr>
                <w:sz w:val="18"/>
              </w:rPr>
              <w:t>Evaluation of Finan- cial Fitness for Life Program and Future Outlook in the Mis- sissippi Delta,</w:t>
            </w:r>
            <w:r>
              <w:rPr>
                <w:spacing w:val="-7"/>
                <w:sz w:val="18"/>
              </w:rPr>
              <w:t> </w:t>
            </w:r>
            <w:r>
              <w:rPr>
                <w:sz w:val="18"/>
              </w:rPr>
              <w:t>Smith/</w:t>
            </w:r>
          </w:p>
          <w:p>
            <w:pPr>
              <w:pStyle w:val="TableParagraph"/>
              <w:spacing w:line="187" w:lineRule="exact" w:before="1"/>
              <w:ind w:left="107"/>
              <w:rPr>
                <w:sz w:val="18"/>
              </w:rPr>
            </w:pPr>
            <w:r>
              <w:rPr>
                <w:sz w:val="18"/>
              </w:rPr>
              <w:t>Campbell et al.,</w:t>
            </w:r>
            <w:r>
              <w:rPr>
                <w:spacing w:val="-6"/>
                <w:sz w:val="18"/>
              </w:rPr>
              <w:t> </w:t>
            </w:r>
            <w:r>
              <w:rPr>
                <w:sz w:val="18"/>
              </w:rPr>
              <w:t>2008</w:t>
            </w:r>
          </w:p>
        </w:tc>
        <w:tc>
          <w:tcPr>
            <w:tcW w:w="1045" w:type="dxa"/>
          </w:tcPr>
          <w:p>
            <w:pPr>
              <w:pStyle w:val="TableParagraph"/>
              <w:rPr>
                <w:sz w:val="20"/>
              </w:rPr>
            </w:pPr>
          </w:p>
          <w:p>
            <w:pPr>
              <w:pStyle w:val="TableParagraph"/>
              <w:spacing w:before="179"/>
              <w:ind w:left="107" w:right="157"/>
              <w:rPr>
                <w:b/>
                <w:sz w:val="18"/>
              </w:rPr>
            </w:pPr>
            <w:r>
              <w:rPr>
                <w:b/>
                <w:color w:val="001F5F"/>
                <w:sz w:val="18"/>
              </w:rPr>
              <w:t>Einge- schränkt</w:t>
            </w:r>
          </w:p>
        </w:tc>
        <w:tc>
          <w:tcPr>
            <w:tcW w:w="1044" w:type="dxa"/>
          </w:tcPr>
          <w:p>
            <w:pPr>
              <w:pStyle w:val="TableParagraph"/>
              <w:rPr>
                <w:sz w:val="20"/>
              </w:rPr>
            </w:pPr>
          </w:p>
          <w:p>
            <w:pPr>
              <w:pStyle w:val="TableParagraph"/>
              <w:spacing w:before="179"/>
              <w:ind w:left="107" w:right="156"/>
              <w:rPr>
                <w:b/>
                <w:sz w:val="18"/>
              </w:rPr>
            </w:pPr>
            <w:r>
              <w:rPr>
                <w:b/>
                <w:color w:val="001F5F"/>
                <w:sz w:val="18"/>
              </w:rPr>
              <w:t>Einge- schränkt</w:t>
            </w:r>
          </w:p>
        </w:tc>
        <w:tc>
          <w:tcPr>
            <w:tcW w:w="1047" w:type="dxa"/>
          </w:tcPr>
          <w:p>
            <w:pPr>
              <w:pStyle w:val="TableParagraph"/>
              <w:rPr>
                <w:sz w:val="20"/>
              </w:rPr>
            </w:pPr>
          </w:p>
          <w:p>
            <w:pPr>
              <w:pStyle w:val="TableParagraph"/>
              <w:spacing w:before="179"/>
              <w:ind w:left="107" w:right="159"/>
              <w:rPr>
                <w:b/>
                <w:sz w:val="18"/>
              </w:rPr>
            </w:pPr>
            <w:r>
              <w:rPr>
                <w:b/>
                <w:color w:val="001F5F"/>
                <w:sz w:val="18"/>
              </w:rPr>
              <w:t>Einge- schränkt</w:t>
            </w:r>
          </w:p>
        </w:tc>
        <w:tc>
          <w:tcPr>
            <w:tcW w:w="1044" w:type="dxa"/>
          </w:tcPr>
          <w:p>
            <w:pPr>
              <w:pStyle w:val="TableParagraph"/>
              <w:rPr>
                <w:sz w:val="20"/>
              </w:rPr>
            </w:pPr>
          </w:p>
          <w:p>
            <w:pPr>
              <w:pStyle w:val="TableParagraph"/>
              <w:spacing w:before="6"/>
              <w:rPr>
                <w:sz w:val="24"/>
              </w:rPr>
            </w:pPr>
          </w:p>
          <w:p>
            <w:pPr>
              <w:pStyle w:val="TableParagraph"/>
              <w:ind w:left="104"/>
              <w:rPr>
                <w:b/>
                <w:sz w:val="18"/>
              </w:rPr>
            </w:pPr>
            <w:r>
              <w:rPr>
                <w:b/>
                <w:color w:val="00AF50"/>
                <w:sz w:val="18"/>
              </w:rPr>
              <w:t>Ja</w:t>
            </w:r>
          </w:p>
        </w:tc>
        <w:tc>
          <w:tcPr>
            <w:tcW w:w="1044" w:type="dxa"/>
          </w:tcPr>
          <w:p>
            <w:pPr>
              <w:pStyle w:val="TableParagraph"/>
              <w:rPr>
                <w:sz w:val="20"/>
              </w:rPr>
            </w:pPr>
          </w:p>
          <w:p>
            <w:pPr>
              <w:pStyle w:val="TableParagraph"/>
              <w:spacing w:before="6"/>
              <w:rPr>
                <w:sz w:val="24"/>
              </w:rPr>
            </w:pPr>
          </w:p>
          <w:p>
            <w:pPr>
              <w:pStyle w:val="TableParagraph"/>
              <w:ind w:left="106"/>
              <w:rPr>
                <w:b/>
                <w:sz w:val="18"/>
              </w:rPr>
            </w:pPr>
            <w:r>
              <w:rPr>
                <w:b/>
                <w:color w:val="FF0000"/>
                <w:sz w:val="18"/>
              </w:rPr>
              <w:t>Nein</w:t>
            </w:r>
          </w:p>
        </w:tc>
        <w:tc>
          <w:tcPr>
            <w:tcW w:w="1047" w:type="dxa"/>
          </w:tcPr>
          <w:p>
            <w:pPr>
              <w:pStyle w:val="TableParagraph"/>
              <w:rPr>
                <w:sz w:val="20"/>
              </w:rPr>
            </w:pPr>
          </w:p>
          <w:p>
            <w:pPr>
              <w:pStyle w:val="TableParagraph"/>
              <w:spacing w:before="179"/>
              <w:ind w:left="107" w:right="159"/>
              <w:rPr>
                <w:b/>
                <w:sz w:val="18"/>
              </w:rPr>
            </w:pPr>
            <w:r>
              <w:rPr>
                <w:b/>
                <w:color w:val="001F5F"/>
                <w:sz w:val="18"/>
              </w:rPr>
              <w:t>Einge- schränkt</w:t>
            </w:r>
          </w:p>
        </w:tc>
        <w:tc>
          <w:tcPr>
            <w:tcW w:w="1042" w:type="dxa"/>
          </w:tcPr>
          <w:p>
            <w:pPr>
              <w:pStyle w:val="TableParagraph"/>
              <w:rPr>
                <w:sz w:val="20"/>
              </w:rPr>
            </w:pPr>
          </w:p>
          <w:p>
            <w:pPr>
              <w:pStyle w:val="TableParagraph"/>
              <w:spacing w:before="6"/>
              <w:rPr>
                <w:sz w:val="24"/>
              </w:rPr>
            </w:pPr>
          </w:p>
          <w:p>
            <w:pPr>
              <w:pStyle w:val="TableParagraph"/>
              <w:ind w:left="106"/>
              <w:rPr>
                <w:b/>
                <w:sz w:val="18"/>
              </w:rPr>
            </w:pPr>
            <w:r>
              <w:rPr>
                <w:b/>
                <w:color w:val="00AF50"/>
                <w:sz w:val="18"/>
              </w:rPr>
              <w:t>Ja</w:t>
            </w:r>
          </w:p>
        </w:tc>
      </w:tr>
      <w:tr>
        <w:trPr>
          <w:trHeight w:val="1865" w:hRule="atLeast"/>
        </w:trPr>
        <w:tc>
          <w:tcPr>
            <w:tcW w:w="1949" w:type="dxa"/>
            <w:shd w:val="clear" w:color="auto" w:fill="EED2D2"/>
          </w:tcPr>
          <w:p>
            <w:pPr>
              <w:pStyle w:val="TableParagraph"/>
              <w:ind w:left="107" w:right="98"/>
              <w:rPr>
                <w:sz w:val="18"/>
              </w:rPr>
            </w:pPr>
            <w:r>
              <w:rPr>
                <w:sz w:val="18"/>
              </w:rPr>
              <w:t>The Financial Litera- cy of young American adults, Results of the 2008 National Jump$tart Coalition Survey of High School Seniors and College</w:t>
            </w:r>
            <w:r>
              <w:rPr>
                <w:spacing w:val="-1"/>
                <w:sz w:val="18"/>
              </w:rPr>
              <w:t> </w:t>
            </w:r>
            <w:r>
              <w:rPr>
                <w:sz w:val="18"/>
              </w:rPr>
              <w:t>Students,</w:t>
            </w:r>
          </w:p>
          <w:p>
            <w:pPr>
              <w:pStyle w:val="TableParagraph"/>
              <w:spacing w:line="187" w:lineRule="exact"/>
              <w:ind w:left="107"/>
              <w:rPr>
                <w:sz w:val="18"/>
              </w:rPr>
            </w:pPr>
            <w:r>
              <w:rPr>
                <w:sz w:val="18"/>
              </w:rPr>
              <w:t>Mandell, 2008</w:t>
            </w:r>
          </w:p>
        </w:tc>
        <w:tc>
          <w:tcPr>
            <w:tcW w:w="1045" w:type="dxa"/>
            <w:shd w:val="clear" w:color="auto" w:fill="EED2D2"/>
          </w:tcPr>
          <w:p>
            <w:pPr>
              <w:pStyle w:val="TableParagraph"/>
              <w:rPr>
                <w:sz w:val="20"/>
              </w:rPr>
            </w:pPr>
          </w:p>
          <w:p>
            <w:pPr>
              <w:pStyle w:val="TableParagraph"/>
              <w:rPr>
                <w:sz w:val="20"/>
              </w:rPr>
            </w:pPr>
          </w:p>
          <w:p>
            <w:pPr>
              <w:pStyle w:val="TableParagraph"/>
              <w:rPr>
                <w:sz w:val="20"/>
              </w:rPr>
            </w:pPr>
          </w:p>
          <w:p>
            <w:pPr>
              <w:pStyle w:val="TableParagraph"/>
              <w:spacing w:before="132"/>
              <w:ind w:left="107"/>
              <w:rPr>
                <w:b/>
                <w:sz w:val="18"/>
              </w:rPr>
            </w:pPr>
            <w:r>
              <w:rPr>
                <w:b/>
                <w:color w:val="00AF50"/>
                <w:sz w:val="18"/>
              </w:rPr>
              <w:t>Ja</w:t>
            </w:r>
          </w:p>
        </w:tc>
        <w:tc>
          <w:tcPr>
            <w:tcW w:w="1044" w:type="dxa"/>
            <w:shd w:val="clear" w:color="auto" w:fill="EED2D2"/>
          </w:tcPr>
          <w:p>
            <w:pPr>
              <w:pStyle w:val="TableParagraph"/>
              <w:rPr>
                <w:sz w:val="20"/>
              </w:rPr>
            </w:pPr>
          </w:p>
          <w:p>
            <w:pPr>
              <w:pStyle w:val="TableParagraph"/>
              <w:rPr>
                <w:sz w:val="20"/>
              </w:rPr>
            </w:pPr>
          </w:p>
          <w:p>
            <w:pPr>
              <w:pStyle w:val="TableParagraph"/>
              <w:spacing w:before="6"/>
              <w:rPr>
                <w:sz w:val="22"/>
              </w:rPr>
            </w:pPr>
          </w:p>
          <w:p>
            <w:pPr>
              <w:pStyle w:val="TableParagraph"/>
              <w:ind w:left="107" w:right="156"/>
              <w:rPr>
                <w:b/>
                <w:sz w:val="18"/>
              </w:rPr>
            </w:pPr>
            <w:r>
              <w:rPr>
                <w:b/>
                <w:color w:val="001F5F"/>
                <w:sz w:val="18"/>
              </w:rPr>
              <w:t>Einge- schränkt</w:t>
            </w:r>
          </w:p>
        </w:tc>
        <w:tc>
          <w:tcPr>
            <w:tcW w:w="1047" w:type="dxa"/>
            <w:shd w:val="clear" w:color="auto" w:fill="EED2D2"/>
          </w:tcPr>
          <w:p>
            <w:pPr>
              <w:pStyle w:val="TableParagraph"/>
              <w:rPr>
                <w:sz w:val="20"/>
              </w:rPr>
            </w:pPr>
          </w:p>
          <w:p>
            <w:pPr>
              <w:pStyle w:val="TableParagraph"/>
              <w:rPr>
                <w:sz w:val="20"/>
              </w:rPr>
            </w:pPr>
          </w:p>
          <w:p>
            <w:pPr>
              <w:pStyle w:val="TableParagraph"/>
              <w:spacing w:before="6"/>
              <w:rPr>
                <w:sz w:val="22"/>
              </w:rPr>
            </w:pPr>
          </w:p>
          <w:p>
            <w:pPr>
              <w:pStyle w:val="TableParagraph"/>
              <w:ind w:left="107" w:right="159"/>
              <w:rPr>
                <w:b/>
                <w:sz w:val="18"/>
              </w:rPr>
            </w:pPr>
            <w:r>
              <w:rPr>
                <w:b/>
                <w:color w:val="001F5F"/>
                <w:sz w:val="18"/>
              </w:rPr>
              <w:t>Einge- schränkt</w:t>
            </w:r>
          </w:p>
        </w:tc>
        <w:tc>
          <w:tcPr>
            <w:tcW w:w="1044" w:type="dxa"/>
            <w:shd w:val="clear" w:color="auto" w:fill="EED2D2"/>
          </w:tcPr>
          <w:p>
            <w:pPr>
              <w:pStyle w:val="TableParagraph"/>
              <w:rPr>
                <w:sz w:val="20"/>
              </w:rPr>
            </w:pPr>
          </w:p>
          <w:p>
            <w:pPr>
              <w:pStyle w:val="TableParagraph"/>
              <w:rPr>
                <w:sz w:val="20"/>
              </w:rPr>
            </w:pPr>
          </w:p>
          <w:p>
            <w:pPr>
              <w:pStyle w:val="TableParagraph"/>
              <w:rPr>
                <w:sz w:val="20"/>
              </w:rPr>
            </w:pPr>
          </w:p>
          <w:p>
            <w:pPr>
              <w:pStyle w:val="TableParagraph"/>
              <w:spacing w:before="132"/>
              <w:ind w:left="104"/>
              <w:rPr>
                <w:b/>
                <w:sz w:val="18"/>
              </w:rPr>
            </w:pPr>
            <w:r>
              <w:rPr>
                <w:b/>
                <w:color w:val="00AF50"/>
                <w:sz w:val="18"/>
              </w:rPr>
              <w:t>Ja</w:t>
            </w:r>
          </w:p>
        </w:tc>
        <w:tc>
          <w:tcPr>
            <w:tcW w:w="1044" w:type="dxa"/>
            <w:shd w:val="clear" w:color="auto" w:fill="EED2D2"/>
          </w:tcPr>
          <w:p>
            <w:pPr>
              <w:pStyle w:val="TableParagraph"/>
              <w:rPr>
                <w:sz w:val="20"/>
              </w:rPr>
            </w:pPr>
          </w:p>
          <w:p>
            <w:pPr>
              <w:pStyle w:val="TableParagraph"/>
              <w:rPr>
                <w:sz w:val="20"/>
              </w:rPr>
            </w:pPr>
          </w:p>
          <w:p>
            <w:pPr>
              <w:pStyle w:val="TableParagraph"/>
              <w:rPr>
                <w:sz w:val="20"/>
              </w:rPr>
            </w:pPr>
          </w:p>
          <w:p>
            <w:pPr>
              <w:pStyle w:val="TableParagraph"/>
              <w:spacing w:before="132"/>
              <w:ind w:left="106"/>
              <w:rPr>
                <w:b/>
                <w:sz w:val="18"/>
              </w:rPr>
            </w:pPr>
            <w:r>
              <w:rPr>
                <w:b/>
                <w:color w:val="FF0000"/>
                <w:sz w:val="18"/>
              </w:rPr>
              <w:t>Nein</w:t>
            </w:r>
          </w:p>
        </w:tc>
        <w:tc>
          <w:tcPr>
            <w:tcW w:w="1047" w:type="dxa"/>
            <w:shd w:val="clear" w:color="auto" w:fill="EED2D2"/>
          </w:tcPr>
          <w:p>
            <w:pPr>
              <w:pStyle w:val="TableParagraph"/>
              <w:rPr>
                <w:sz w:val="20"/>
              </w:rPr>
            </w:pPr>
          </w:p>
          <w:p>
            <w:pPr>
              <w:pStyle w:val="TableParagraph"/>
              <w:rPr>
                <w:sz w:val="20"/>
              </w:rPr>
            </w:pPr>
          </w:p>
          <w:p>
            <w:pPr>
              <w:pStyle w:val="TableParagraph"/>
              <w:rPr>
                <w:sz w:val="20"/>
              </w:rPr>
            </w:pPr>
          </w:p>
          <w:p>
            <w:pPr>
              <w:pStyle w:val="TableParagraph"/>
              <w:spacing w:before="132"/>
              <w:ind w:left="107"/>
              <w:rPr>
                <w:b/>
                <w:sz w:val="18"/>
              </w:rPr>
            </w:pPr>
            <w:r>
              <w:rPr>
                <w:b/>
                <w:color w:val="00AF50"/>
                <w:sz w:val="18"/>
              </w:rPr>
              <w:t>Ja</w:t>
            </w:r>
          </w:p>
        </w:tc>
        <w:tc>
          <w:tcPr>
            <w:tcW w:w="1042" w:type="dxa"/>
            <w:shd w:val="clear" w:color="auto" w:fill="EED2D2"/>
          </w:tcPr>
          <w:p>
            <w:pPr>
              <w:pStyle w:val="TableParagraph"/>
              <w:rPr>
                <w:sz w:val="20"/>
              </w:rPr>
            </w:pPr>
          </w:p>
          <w:p>
            <w:pPr>
              <w:pStyle w:val="TableParagraph"/>
              <w:rPr>
                <w:sz w:val="20"/>
              </w:rPr>
            </w:pPr>
          </w:p>
          <w:p>
            <w:pPr>
              <w:pStyle w:val="TableParagraph"/>
              <w:rPr>
                <w:sz w:val="20"/>
              </w:rPr>
            </w:pPr>
          </w:p>
          <w:p>
            <w:pPr>
              <w:pStyle w:val="TableParagraph"/>
              <w:spacing w:before="132"/>
              <w:ind w:left="106"/>
              <w:rPr>
                <w:b/>
                <w:sz w:val="18"/>
              </w:rPr>
            </w:pPr>
            <w:r>
              <w:rPr>
                <w:b/>
                <w:color w:val="00AF50"/>
                <w:sz w:val="18"/>
              </w:rPr>
              <w:t>Ja</w:t>
            </w:r>
          </w:p>
        </w:tc>
      </w:tr>
    </w:tbl>
    <w:p>
      <w:pPr>
        <w:spacing w:before="112"/>
        <w:ind w:left="218" w:right="0" w:firstLine="0"/>
        <w:jc w:val="left"/>
        <w:rPr>
          <w:i/>
          <w:sz w:val="20"/>
        </w:rPr>
      </w:pPr>
      <w:r>
        <w:rPr>
          <w:i/>
          <w:sz w:val="20"/>
        </w:rPr>
        <w:t>Abbildung 1: Klassifikationsschema: Kompetenzmessung</w:t>
      </w:r>
    </w:p>
    <w:p>
      <w:pPr>
        <w:pStyle w:val="BodyText"/>
        <w:rPr>
          <w:i/>
          <w:sz w:val="20"/>
        </w:rPr>
      </w:pPr>
    </w:p>
    <w:p>
      <w:pPr>
        <w:pStyle w:val="BodyText"/>
        <w:rPr>
          <w:i/>
          <w:sz w:val="20"/>
        </w:rPr>
      </w:pPr>
    </w:p>
    <w:p>
      <w:pPr>
        <w:pStyle w:val="BodyText"/>
        <w:rPr>
          <w:i/>
          <w:sz w:val="20"/>
        </w:rPr>
      </w:pPr>
    </w:p>
    <w:p>
      <w:pPr>
        <w:pStyle w:val="BodyText"/>
        <w:spacing w:before="5"/>
        <w:rPr>
          <w:i/>
          <w:sz w:val="16"/>
        </w:rPr>
      </w:pPr>
      <w:r>
        <w:rPr/>
        <w:pict>
          <v:shape style="position:absolute;margin-left:70.944pt;margin-top:11.703891pt;width:144.050pt;height:.1pt;mso-position-horizontal-relative:page;mso-position-vertical-relative:paragraph;z-index:-251657216;mso-wrap-distance-left:0;mso-wrap-distance-right:0" coordorigin="1419,234" coordsize="2881,0" path="m1419,234l4299,234e" filled="false" stroked="true" strokeweight=".60004pt" strokecolor="#000000">
            <v:path arrowok="t"/>
            <v:stroke dashstyle="solid"/>
            <w10:wrap type="topAndBottom"/>
          </v:shape>
        </w:pict>
      </w:r>
    </w:p>
    <w:p>
      <w:pPr>
        <w:spacing w:line="246" w:lineRule="exact" w:before="29"/>
        <w:ind w:left="218" w:right="0" w:firstLine="0"/>
        <w:jc w:val="left"/>
        <w:rPr>
          <w:sz w:val="20"/>
        </w:rPr>
      </w:pPr>
      <w:r>
        <w:rPr>
          <w:position w:val="10"/>
          <w:sz w:val="13"/>
        </w:rPr>
        <w:t>2 </w:t>
      </w:r>
      <w:r>
        <w:rPr>
          <w:sz w:val="20"/>
        </w:rPr>
        <w:t>Die vorliegenden Informationen zur Studie lassen keine eindeutige Aussage zu.</w:t>
      </w:r>
    </w:p>
    <w:p>
      <w:pPr>
        <w:spacing w:line="246" w:lineRule="exact" w:before="0"/>
        <w:ind w:left="218" w:right="0" w:firstLine="0"/>
        <w:jc w:val="left"/>
        <w:rPr>
          <w:sz w:val="20"/>
        </w:rPr>
      </w:pPr>
      <w:r>
        <w:rPr>
          <w:position w:val="10"/>
          <w:sz w:val="13"/>
        </w:rPr>
        <w:t>3 </w:t>
      </w:r>
      <w:r>
        <w:rPr>
          <w:sz w:val="20"/>
        </w:rPr>
        <w:t>Die Dimension ist in Ansätzen erkennbar.</w:t>
      </w:r>
    </w:p>
    <w:p>
      <w:pPr>
        <w:spacing w:after="0" w:line="246" w:lineRule="exact"/>
        <w:jc w:val="left"/>
        <w:rPr>
          <w:sz w:val="20"/>
        </w:rPr>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0"/>
        <w:jc w:val="both"/>
      </w:pPr>
      <w:r>
        <w:rPr/>
        <w:t>An dieser Stelle soll ein kurzes Zwischenfazit mit Blick auf die aktuellen Studien zur financial literacy gezogen werden. So zeigt die Übersicht in Abbildung 1 Studien zur financial literacy, die über die wirtschaftswissenschaftliche Suchmaschine Economics and Finance Research ideas repec</w:t>
      </w:r>
      <w:r>
        <w:rPr>
          <w:vertAlign w:val="superscript"/>
        </w:rPr>
        <w:t>4</w:t>
      </w:r>
      <w:r>
        <w:rPr>
          <w:vertAlign w:val="baseline"/>
        </w:rPr>
        <w:t> für die letzten 5 Jahren gefunden wurden. Es sind im weiteren Auswahlprozess nur Studien (survey) in Betracht gezogen worden, die die Begriffe financial literacy bzw. Fi- nanzkompetenz/financial competence oder financial capability explizit untersuchen wollen. Ferner sind Studien, die auf Lusardi und die Health and Retirement Study 2004</w:t>
      </w:r>
      <w:r>
        <w:rPr>
          <w:vertAlign w:val="superscript"/>
        </w:rPr>
        <w:t>5</w:t>
      </w:r>
      <w:r>
        <w:rPr>
          <w:vertAlign w:val="baseline"/>
        </w:rPr>
        <w:t> zurückzu- führen sind bzw. auf diese Studie</w:t>
      </w:r>
      <w:r>
        <w:rPr>
          <w:vertAlign w:val="superscript"/>
        </w:rPr>
        <w:t>6</w:t>
      </w:r>
      <w:r>
        <w:rPr>
          <w:vertAlign w:val="baseline"/>
        </w:rPr>
        <w:t> verweisen, ausgeschlossen worden, da diese Fragen repräsentativ durch die Studie (Lusardi/Mitchell 2011) aufgeführt werden. Weiter sind Studi- en ausgeschlossen worden, die sich zwar mit Finanzkompetenz befassen, diese aber nur durch Fragen zum personenbezogenen Umgang mit Finanzmitteln und -produkten erfassen (bspw. Jugend und Geld 2005, SCHUFA). Exemplarisch für die Verbindung von financial literacy mit weiteren Themen werden zwei Studien aus Großbritannien bzw. der USA aufge- führt, die jeweils financial literacy mit verschiedenen Schwerpunkten untersucht haben. So soll ein Querschnitt der Forschungslandschaft um das Konstrukt financial literacy der letzten 5 Jahre dargestellt werden. In einem Überblick (siehe Abbildung 1) werden die so ausge- wählten Studien in einer ersten Systematisierung den verschiedenen Perspektiven zugeord- net.</w:t>
      </w:r>
    </w:p>
    <w:p>
      <w:pPr>
        <w:pStyle w:val="BodyText"/>
        <w:spacing w:line="360" w:lineRule="auto" w:before="1"/>
        <w:ind w:left="218" w:right="233"/>
        <w:jc w:val="both"/>
      </w:pPr>
      <w:r>
        <w:rPr/>
        <w:t>Die vorgenommene Klassifikation der ausgewählten Studien verdeutlicht, dass ein Großteil nicht die Anforderungen, die die Kompetenzmessung stellt, erfüllen kann. Besonders in dem Bereich Aufgabenformate (5) können Schwachstellen in einzelnen Studien identifiziert wer- den, dies vor allem auch vor dem Hintergrund eines genderspezifischen Bias aufgrund der Fragenformulierung (Macha/Schuhen 2013). Auch die in der ökonomischen Bildung als rele- vant eingestuften Rollen (6) werden nicht durchgängig behandelt.</w:t>
      </w:r>
    </w:p>
    <w:p>
      <w:pPr>
        <w:pStyle w:val="BodyText"/>
        <w:spacing w:before="11"/>
        <w:rPr>
          <w:sz w:val="32"/>
        </w:rPr>
      </w:pPr>
    </w:p>
    <w:p>
      <w:pPr>
        <w:pStyle w:val="Heading1"/>
        <w:numPr>
          <w:ilvl w:val="0"/>
          <w:numId w:val="1"/>
        </w:numPr>
        <w:tabs>
          <w:tab w:pos="651" w:val="left" w:leader="none"/>
        </w:tabs>
        <w:spacing w:line="240" w:lineRule="auto" w:before="0" w:after="0"/>
        <w:ind w:left="650" w:right="0" w:hanging="433"/>
        <w:jc w:val="both"/>
      </w:pPr>
      <w:r>
        <w:rPr/>
        <w:t>Financial Literacy Study</w:t>
      </w:r>
      <w:r>
        <w:rPr>
          <w:spacing w:val="-11"/>
        </w:rPr>
        <w:t> </w:t>
      </w:r>
      <w:r>
        <w:rPr/>
        <w:t>(FILS)</w:t>
      </w:r>
    </w:p>
    <w:p>
      <w:pPr>
        <w:pStyle w:val="BodyText"/>
        <w:spacing w:line="360" w:lineRule="auto" w:before="149"/>
        <w:ind w:left="218" w:right="233"/>
        <w:jc w:val="both"/>
      </w:pPr>
      <w:r>
        <w:rPr/>
        <w:t>Die Financial Literacy Study (FILS) ist ein Bestandteil des Projektes ECOS (Economic Competencies Study) vom ZöBiS. In diesem Projekt gehen die Autoren der Frage nach, ob es eine spezifische ökonomische Kompetenz gibt und welche Beziehung diese Kompetenz zu mathematischen und verbalen Fähigkeiten aufweist. Neben ökonomischem Wissen</w:t>
      </w:r>
    </w:p>
    <w:p>
      <w:pPr>
        <w:pStyle w:val="BodyText"/>
        <w:spacing w:before="4"/>
        <w:rPr>
          <w:sz w:val="25"/>
        </w:rPr>
      </w:pPr>
      <w:r>
        <w:rPr/>
        <w:pict>
          <v:shape style="position:absolute;margin-left:70.944pt;margin-top:16.833593pt;width:144.050pt;height:.1pt;mso-position-horizontal-relative:page;mso-position-vertical-relative:paragraph;z-index:-251655168;mso-wrap-distance-left:0;mso-wrap-distance-right:0" coordorigin="1419,337" coordsize="2881,0" path="m1419,337l4299,337e" filled="false" stroked="true" strokeweight=".599980pt" strokecolor="#000000">
            <v:path arrowok="t"/>
            <v:stroke dashstyle="solid"/>
            <w10:wrap type="topAndBottom"/>
          </v:shape>
        </w:pict>
      </w:r>
    </w:p>
    <w:p>
      <w:pPr>
        <w:spacing w:before="27"/>
        <w:ind w:left="218" w:right="250" w:firstLine="0"/>
        <w:jc w:val="left"/>
        <w:rPr>
          <w:sz w:val="20"/>
        </w:rPr>
      </w:pPr>
      <w:r>
        <w:rPr>
          <w:position w:val="10"/>
          <w:sz w:val="13"/>
        </w:rPr>
        <w:t>4 </w:t>
      </w:r>
      <w:hyperlink r:id="rId7">
        <w:r>
          <w:rPr>
            <w:sz w:val="20"/>
          </w:rPr>
          <w:t>http://ideas.repec.org/ </w:t>
        </w:r>
      </w:hyperlink>
      <w:r>
        <w:rPr>
          <w:sz w:val="20"/>
        </w:rPr>
        <w:t>Die Suchanfrage ergab 107 Titel für financial literacy survey, 46 Titel für fi- nancial capability survey, 12 Titel für financial competence survey.</w:t>
      </w:r>
    </w:p>
    <w:p>
      <w:pPr>
        <w:spacing w:line="213" w:lineRule="exact" w:before="0"/>
        <w:ind w:left="218" w:right="0" w:firstLine="0"/>
        <w:jc w:val="left"/>
        <w:rPr>
          <w:sz w:val="20"/>
        </w:rPr>
      </w:pPr>
      <w:r>
        <w:rPr>
          <w:position w:val="10"/>
          <w:sz w:val="13"/>
        </w:rPr>
        <w:t>5 </w:t>
      </w:r>
      <w:r>
        <w:rPr>
          <w:sz w:val="20"/>
        </w:rPr>
        <w:t>vgl. hierzu </w:t>
      </w:r>
      <w:hyperlink r:id="rId8">
        <w:r>
          <w:rPr>
            <w:sz w:val="20"/>
          </w:rPr>
          <w:t>http://hrsonline.isr.umich.edu/</w:t>
        </w:r>
      </w:hyperlink>
    </w:p>
    <w:p>
      <w:pPr>
        <w:spacing w:line="246" w:lineRule="exact" w:before="0"/>
        <w:ind w:left="218" w:right="0" w:firstLine="0"/>
        <w:jc w:val="left"/>
        <w:rPr>
          <w:sz w:val="20"/>
        </w:rPr>
      </w:pPr>
      <w:r>
        <w:rPr>
          <w:position w:val="10"/>
          <w:sz w:val="13"/>
        </w:rPr>
        <w:t>6 </w:t>
      </w:r>
      <w:hyperlink r:id="rId7">
        <w:r>
          <w:rPr>
            <w:sz w:val="20"/>
          </w:rPr>
          <w:t>http://ideas.repec.org/ </w:t>
        </w:r>
      </w:hyperlink>
      <w:r>
        <w:rPr>
          <w:sz w:val="20"/>
        </w:rPr>
        <w:t>Die Suchanfrage ergab 24 Titel für Lusardi, financial, survey (2008-2012)</w:t>
      </w:r>
    </w:p>
    <w:p>
      <w:pPr>
        <w:spacing w:after="0" w:line="246" w:lineRule="exact"/>
        <w:jc w:val="left"/>
        <w:rPr>
          <w:sz w:val="20"/>
        </w:rPr>
        <w:sectPr>
          <w:pgSz w:w="11880" w:h="16800"/>
          <w:pgMar w:header="1432" w:footer="840" w:top="2040" w:bottom="1040" w:left="1200" w:right="1180"/>
        </w:sectPr>
      </w:pPr>
    </w:p>
    <w:p>
      <w:pPr>
        <w:pStyle w:val="BodyText"/>
        <w:spacing w:before="9"/>
        <w:rPr>
          <w:sz w:val="13"/>
        </w:rPr>
      </w:pPr>
    </w:p>
    <w:p>
      <w:pPr>
        <w:pStyle w:val="BodyText"/>
        <w:spacing w:line="360" w:lineRule="auto" w:before="93" w:after="5"/>
        <w:ind w:left="218" w:right="230"/>
        <w:jc w:val="both"/>
      </w:pPr>
      <w:r>
        <w:rPr/>
        <w:t>werden in dieser Studie auch Computersimulationen zur Erhebung handlungsbasierter Kompetenz eingesetzt (Macha/Schuhen 2012a). Dieses Konzept wird in FILS ebenfalls ver- folgt. Um einen parallelen Datensatz zu erhalten, sind Schüler zwischen 14 und 17 Jahren im Rahmen einer 45-minütigen Onlinestudie befragt worden. Diese ist im Juni 2012 gestartet und umfasst aktuell 817 Schüler aus Nordrhein-Westfalen, Rheinland-Pfalz und Baden- Württemberg. Inhaltlich werden fünf Bereiche abgedeckt, ergänzt um die Dimension Geldpo- litik, damit auch der finanzpolitische Teil einer financial literacy abgedeckt wird und mögliche Wechselwirkungen zwischen geldpolitischen Interessen und Kenntnissen und der individuel- len financial literacy hergestellt werden</w:t>
      </w:r>
      <w:r>
        <w:rPr>
          <w:spacing w:val="-6"/>
        </w:rPr>
        <w:t> </w:t>
      </w:r>
      <w:r>
        <w:rPr/>
        <w:t>können.</w:t>
      </w:r>
    </w:p>
    <w:p>
      <w:pPr>
        <w:pStyle w:val="BodyText"/>
        <w:ind w:left="1214"/>
        <w:rPr>
          <w:sz w:val="20"/>
        </w:rPr>
      </w:pPr>
      <w:r>
        <w:rPr>
          <w:sz w:val="20"/>
        </w:rPr>
        <w:pict>
          <v:group style="width:247.45pt;height:239.8pt;mso-position-horizontal-relative:char;mso-position-vertical-relative:line" coordorigin="0,0" coordsize="4949,4796">
            <v:shape style="position:absolute;left:1728;top:1838;width:1508;height:1508" type="#_x0000_t75" stroked="false">
              <v:imagedata r:id="rId9" o:title=""/>
            </v:shape>
            <v:shape style="position:absolute;left:1850;top:2208;width:1325;height:680" type="#_x0000_t75" stroked="false">
              <v:imagedata r:id="rId10" o:title=""/>
            </v:shape>
            <v:shape style="position:absolute;left:1811;top:1890;width:1341;height:1341" coordorigin="1812,1890" coordsize="1341,1341" path="m2482,1890l2409,1894,2338,1906,2270,1924,2205,1950,2144,1982,2086,2019,2033,2063,1984,2111,1941,2165,1903,2222,1871,2284,1846,2349,1827,2417,1816,2487,1812,2560,1816,2633,1827,2704,1846,2772,1871,2837,1903,2899,1941,2956,1984,3009,2033,3058,2086,3101,2144,3139,2205,3171,2270,3196,2338,3215,2409,3226,2482,3230,2555,3226,2626,3215,2694,3196,2759,3171,2820,3139,2878,3101,2931,3058,2979,3009,3023,2956,3061,2899,3092,2837,3118,2772,3137,2704,3148,2633,3152,2560,3148,2487,3137,2417,3118,2349,3092,2284,3061,2222,3023,2165,2979,2111,2931,2063,2878,2019,2820,1982,2759,1950,2694,1924,2626,1906,2555,1894,2482,1890xe" filled="true" fillcolor="#c0504d" stroked="false">
              <v:path arrowok="t"/>
              <v:fill type="solid"/>
            </v:shape>
            <v:shape style="position:absolute;left:1811;top:1890;width:1341;height:1341" coordorigin="1812,1890" coordsize="1341,1341" path="m1812,2560l1816,2487,1827,2417,1846,2349,1871,2284,1903,2222,1941,2165,1984,2111,2033,2063,2086,2019,2144,1982,2205,1950,2270,1924,2338,1906,2409,1894,2482,1890,2555,1894,2626,1906,2694,1924,2759,1950,2820,1982,2878,2019,2931,2063,2979,2111,3023,2165,3061,2222,3092,2284,3118,2349,3137,2417,3148,2487,3152,2560,3148,2633,3137,2704,3118,2772,3092,2837,3061,2899,3023,2956,2979,3009,2931,3058,2878,3101,2820,3139,2759,3171,2694,3196,2626,3215,2555,3226,2482,3230,2409,3226,2338,3215,2270,3196,2205,3171,2144,3139,2086,3101,2033,3058,1984,3009,1941,2956,1903,2899,1871,2837,1846,2772,1827,2704,1816,2633,1812,2560xe" filled="false" stroked="true" strokeweight="3pt" strokecolor="#ffffff">
              <v:path arrowok="t"/>
              <v:stroke dashstyle="solid"/>
            </v:shape>
            <v:shape style="position:absolute;left:2186;top:1413;width:591;height:447" type="#_x0000_t75" stroked="false">
              <v:imagedata r:id="rId11" o:title=""/>
            </v:shape>
            <v:shape style="position:absolute;left:2254;top:1450;width:456;height:311" coordorigin="2254,1450" coordsize="456,311" path="m2619,1606l2345,1606,2345,1761,2619,1761,2619,1606xm2482,1450l2254,1606,2710,1606,2482,1450xe" filled="true" fillcolor="#9bba58" stroked="false">
              <v:path arrowok="t"/>
              <v:fill type="solid"/>
            </v:shape>
            <v:shape style="position:absolute;left:1785;top:0;width:1392;height:1433" type="#_x0000_t75" stroked="false">
              <v:imagedata r:id="rId12" o:title=""/>
            </v:shape>
            <v:shape style="position:absolute;left:1932;top:357;width:1148;height:648" type="#_x0000_t75" stroked="false">
              <v:imagedata r:id="rId13" o:title=""/>
            </v:shape>
            <v:shape style="position:absolute;left:1883;top:65;width:1198;height:1238" coordorigin="1883,66" coordsize="1198,1238" path="m2482,66l2407,71,2334,85,2265,107,2200,138,2140,177,2084,222,2034,274,1990,331,1953,394,1923,461,1901,532,1888,607,1883,685,1888,762,1901,837,1923,908,1953,976,1990,1038,2034,1096,2084,1147,2140,1193,2200,1231,2265,1262,2334,1285,2407,1299,2482,1303,2557,1299,2629,1285,2698,1262,2763,1231,2824,1193,2879,1147,2929,1096,2973,1038,3010,976,3040,908,3062,837,3076,762,3081,685,3076,607,3062,532,3040,461,3010,394,2973,331,2929,274,2879,222,2824,177,2763,138,2698,107,2629,85,2557,71,2482,66xe" filled="true" fillcolor="#9bba58" stroked="false">
              <v:path arrowok="t"/>
              <v:fill type="solid"/>
            </v:shape>
            <v:shape style="position:absolute;left:1883;top:65;width:1198;height:1238" coordorigin="1883,66" coordsize="1198,1238" path="m1883,685l1888,607,1901,532,1923,461,1953,394,1990,331,2034,274,2084,222,2140,177,2200,138,2265,107,2334,85,2407,71,2482,66,2557,71,2629,85,2698,107,2763,138,2824,177,2879,222,2929,274,2973,331,3010,394,3040,461,3062,532,3076,607,3081,685,3076,762,3062,837,3040,908,3010,976,2973,1038,2929,1096,2879,1147,2824,1193,2763,1231,2698,1262,2629,1285,2557,1299,2482,1303,2407,1299,2334,1285,2265,1262,2200,1231,2140,1193,2084,1147,2034,1096,1990,1038,1953,976,1923,908,1901,837,1888,762,1883,685xe" filled="false" stroked="true" strokeweight="3pt" strokecolor="#ffffff">
              <v:path arrowok="t"/>
              <v:stroke dashstyle="solid"/>
            </v:shape>
            <v:shape style="position:absolute;left:3127;top:1980;width:492;height:562" type="#_x0000_t75" stroked="false">
              <v:imagedata r:id="rId14" o:title=""/>
            </v:shape>
            <v:shape style="position:absolute;left:3194;top:2014;width:358;height:429" coordorigin="3195,2015" coordsize="358,429" path="m3499,2358l3443,2358,3474,2443,3499,2358xm3319,2015l3350,2101,3195,2157,3288,2414,3443,2358,3499,2358,3552,2173,3319,2015xe" filled="true" fillcolor="#5cb564" stroked="false">
              <v:path arrowok="t"/>
              <v:fill type="solid"/>
            </v:shape>
            <v:shape style="position:absolute;left:3566;top:1257;width:1383;height:1383" type="#_x0000_t75" stroked="false">
              <v:imagedata r:id="rId15" o:title=""/>
            </v:shape>
            <v:shape style="position:absolute;left:3734;top:1533;width:1047;height:764" type="#_x0000_t75" stroked="false">
              <v:imagedata r:id="rId16" o:title=""/>
            </v:shape>
            <v:shape style="position:absolute;left:3663;top:1323;width:1188;height:1189" coordorigin="3664,1323" coordsize="1188,1189" path="m4258,1323l4183,1328,4112,1341,4043,1363,3979,1393,3918,1430,3863,1473,3814,1523,3770,1578,3733,1638,3704,1703,3682,1771,3668,1843,3664,1917,3668,1992,3682,2064,3704,2132,3733,2197,3770,2257,3814,2312,3863,2362,3918,2405,3979,2442,4043,2472,4112,2493,4183,2507,4258,2512,4332,2507,4404,2493,4472,2472,4537,2442,4597,2405,4652,2362,4702,2312,4745,2257,4782,2197,4812,2132,4834,2064,4847,1992,4852,1917,4847,1843,4834,1771,4812,1703,4782,1638,4745,1578,4702,1523,4652,1473,4597,1430,4537,1393,4472,1363,4404,1341,4332,1328,4258,1323xe" filled="true" fillcolor="#5cb564" stroked="false">
              <v:path arrowok="t"/>
              <v:fill type="solid"/>
            </v:shape>
            <v:shape style="position:absolute;left:3663;top:1323;width:1188;height:1189" coordorigin="3664,1323" coordsize="1188,1189" path="m3664,1917l3668,1843,3682,1771,3704,1703,3733,1638,3770,1578,3814,1523,3863,1473,3918,1430,3979,1393,4043,1363,4112,1341,4183,1328,4258,1323,4332,1328,4404,1341,4472,1363,4537,1393,4597,1430,4652,1473,4702,1523,4745,1578,4782,1638,4812,1703,4834,1771,4847,1843,4852,1917,4847,1992,4834,2064,4812,2132,4782,2197,4745,2257,4702,2312,4652,2362,4597,2405,4537,2442,4472,2472,4404,2493,4332,2507,4258,2512,4183,2507,4112,2493,4043,2472,3979,2442,3918,2405,3863,2362,3814,2312,3770,2257,3733,2197,3704,2132,3682,2064,3668,1992,3664,1917xe" filled="false" stroked="true" strokeweight="3pt" strokecolor="#ffffff">
              <v:path arrowok="t"/>
              <v:stroke dashstyle="solid"/>
            </v:shape>
            <v:shape style="position:absolute;left:2776;top:3096;width:526;height:480" type="#_x0000_t75" stroked="false">
              <v:imagedata r:id="rId17" o:title=""/>
            </v:shape>
            <v:shape style="position:absolute;left:2844;top:3131;width:391;height:347" type="#_x0000_t75" stroked="false">
              <v:imagedata r:id="rId18" o:title=""/>
            </v:shape>
            <v:shape style="position:absolute;left:2894;top:3422;width:1378;height:1373" type="#_x0000_t75" stroked="false">
              <v:imagedata r:id="rId19" o:title=""/>
            </v:shape>
            <v:shape style="position:absolute;left:3081;top:3506;width:1049;height:1136" type="#_x0000_t75" stroked="false">
              <v:imagedata r:id="rId20" o:title=""/>
            </v:shape>
            <v:shape style="position:absolute;left:2992;top:3488;width:1184;height:1179" coordorigin="2993,3488" coordsize="1184,1179" path="m3584,3488l3510,3493,3439,3506,3371,3528,3306,3557,3246,3594,3191,3637,3142,3686,3099,3741,3062,3801,3032,3865,3011,3933,2997,4004,2993,4078,2997,4152,3011,4223,3032,4291,3062,4355,3099,4414,3142,4469,3191,4518,3246,4562,3306,4598,3371,4628,3439,4649,3510,4663,3584,4667,3659,4663,3730,4649,3798,4628,3863,4598,3922,4562,3977,4518,4027,4469,4070,4414,4107,4355,4136,4291,4158,4223,4171,4152,4176,4078,4171,4004,4158,3933,4136,3865,4107,3801,4070,3741,4027,3686,3977,3637,3922,3594,3863,3557,3798,3528,3730,3506,3659,3493,3584,3488xe" filled="true" fillcolor="#5eaea6" stroked="false">
              <v:path arrowok="t"/>
              <v:fill type="solid"/>
            </v:shape>
            <v:shape style="position:absolute;left:2992;top:3488;width:1184;height:1179" coordorigin="2993,3488" coordsize="1184,1179" path="m2993,4078l2997,4004,3011,3933,3032,3865,3062,3801,3099,3741,3142,3686,3191,3637,3246,3594,3306,3557,3371,3528,3439,3506,3510,3493,3584,3488,3659,3493,3730,3506,3798,3528,3863,3557,3922,3594,3977,3637,4027,3686,4070,3741,4107,3801,4136,3865,4158,3933,4171,4004,4176,4078,4171,4152,4158,4223,4136,4291,4107,4355,4070,4414,4027,4469,3977,4518,3922,4562,3863,4598,3798,4628,3730,4649,3659,4663,3584,4667,3510,4663,3439,4649,3371,4628,3306,4598,3246,4562,3191,4518,3142,4469,3099,4414,3062,4355,3032,4291,3011,4223,2997,4152,2993,4078xe" filled="false" stroked="true" strokeweight="3pt" strokecolor="#ffffff">
              <v:path arrowok="t"/>
              <v:stroke dashstyle="solid"/>
            </v:shape>
            <v:shape style="position:absolute;left:1612;top:3199;width:526;height:480" type="#_x0000_t75" stroked="false">
              <v:imagedata r:id="rId21" o:title=""/>
            </v:shape>
            <v:shape style="position:absolute;left:1680;top:3234;width:391;height:347" type="#_x0000_t75" stroked="false">
              <v:imagedata r:id="rId22" o:title=""/>
            </v:shape>
            <v:shape style="position:absolute;left:688;top:3422;width:1380;height:1373" type="#_x0000_t75" stroked="false">
              <v:imagedata r:id="rId23" o:title=""/>
            </v:shape>
            <v:shape style="position:absolute;left:808;top:3693;width:1143;height:764" type="#_x0000_t75" stroked="false">
              <v:imagedata r:id="rId24" o:title=""/>
            </v:shape>
            <v:shape style="position:absolute;left:787;top:3488;width:1185;height:1179" coordorigin="787,3488" coordsize="1185,1179" path="m1379,3488l1305,3493,1234,3506,1165,3528,1101,3557,1041,3594,986,3637,936,3686,893,3741,856,3801,827,3865,805,3933,792,4004,787,4078,792,4152,805,4223,827,4291,856,4355,893,4414,936,4469,986,4518,1041,4562,1101,4598,1165,4628,1234,4649,1305,4663,1379,4667,1454,4663,1525,4649,1594,4628,1658,4598,1718,4562,1773,4518,1822,4469,1866,4414,1902,4355,1932,4291,1954,4223,1967,4152,1972,4078,1967,4004,1954,3933,1932,3865,1902,3801,1866,3741,1822,3686,1773,3637,1718,3594,1658,3557,1594,3528,1525,3506,1454,3493,1379,3488xe" filled="true" fillcolor="#6079a8" stroked="false">
              <v:path arrowok="t"/>
              <v:fill type="solid"/>
            </v:shape>
            <v:shape style="position:absolute;left:787;top:3488;width:1185;height:1179" coordorigin="787,3488" coordsize="1185,1179" path="m787,4078l792,4004,805,3933,827,3865,856,3801,893,3741,936,3686,986,3637,1041,3594,1101,3557,1165,3528,1234,3506,1305,3493,1379,3488,1454,3493,1525,3506,1594,3528,1658,3557,1718,3594,1773,3637,1822,3686,1866,3741,1902,3801,1932,3865,1954,3933,1967,4004,1972,4078,1967,4152,1954,4223,1932,4291,1902,4355,1866,4414,1822,4469,1773,4518,1718,4562,1658,4598,1594,4628,1525,4649,1454,4663,1379,4667,1305,4663,1234,4649,1165,4628,1101,4598,1041,4562,986,4518,936,4469,893,4414,856,4355,827,4291,805,4223,792,4152,787,4078xe" filled="false" stroked="true" strokeweight="3pt" strokecolor="#ffffff">
              <v:path arrowok="t"/>
              <v:stroke dashstyle="solid"/>
            </v:shape>
            <v:shape style="position:absolute;left:1346;top:2011;width:480;height:567" type="#_x0000_t75" stroked="false">
              <v:imagedata r:id="rId25" o:title=""/>
            </v:shape>
            <v:shape style="position:absolute;left:1413;top:2046;width:347;height:434" coordorigin="1413,2046" coordsize="347,434" path="m1636,2046l1413,2213,1495,2479,1524,2393,1692,2393,1760,2182,1608,2133,1636,2046xm1692,2393l1524,2393,1676,2442,1692,2393xe" filled="true" fillcolor="#8063a1" stroked="false">
              <v:path arrowok="t"/>
              <v:fill type="solid"/>
            </v:shape>
            <v:shape style="position:absolute;left:0;top:1317;width:1397;height:1390" type="#_x0000_t75" stroked="false">
              <v:imagedata r:id="rId26" o:title=""/>
            </v:shape>
            <v:shape style="position:absolute;left:283;top:1596;width:912;height:764" type="#_x0000_t75" stroked="false">
              <v:imagedata r:id="rId27" o:title=""/>
            </v:shape>
            <v:shape style="position:absolute;left:96;top:1383;width:1204;height:1194" coordorigin="96,1384" coordsize="1204,1194" path="m698,1384l623,1388,550,1402,481,1424,415,1454,354,1491,298,1534,248,1584,204,1640,167,1700,137,1765,115,1834,101,1906,96,1981,101,2056,115,2128,137,2196,167,2261,204,2322,248,2377,298,2427,354,2471,415,2508,481,2537,550,2559,623,2573,698,2578,773,2573,846,2559,915,2537,981,2508,1042,2471,1098,2427,1148,2377,1192,2322,1229,2261,1259,2196,1281,2128,1295,2056,1300,1981,1295,1906,1281,1834,1259,1765,1229,1700,1192,1640,1148,1584,1098,1534,1042,1491,981,1454,915,1424,846,1402,773,1388,698,1384xe" filled="true" fillcolor="#8063a1" stroked="false">
              <v:path arrowok="t"/>
              <v:fill type="solid"/>
            </v:shape>
            <v:shape style="position:absolute;left:96;top:1383;width:1204;height:1194" coordorigin="96,1384" coordsize="1204,1194" path="m96,1981l101,1906,115,1834,137,1765,167,1700,204,1640,248,1584,298,1534,354,1491,415,1454,481,1424,550,1402,623,1388,698,1384,773,1388,846,1402,915,1424,981,1454,1042,1491,1098,1534,1148,1584,1192,1640,1229,1700,1259,1765,1281,1834,1295,1906,1300,1981,1295,2056,1281,2128,1259,2196,1229,2261,1192,2322,1148,2377,1098,2427,1042,2471,981,2508,915,2537,846,2559,773,2573,698,2578,623,2573,550,2559,481,2537,415,2508,354,2471,298,2427,248,2377,204,2322,167,2261,137,2196,115,2128,101,2056,96,1981xe" filled="false" stroked="true" strokeweight="3pt" strokecolor="#ffffff">
              <v:path arrowok="t"/>
              <v:stroke dashstyle="solid"/>
            </v:shape>
            <v:shape style="position:absolute;left:2103;top:449;width:775;height:458" type="#_x0000_t202" filled="false" stroked="false">
              <v:textbox inset="0,0,0,0">
                <w:txbxContent>
                  <w:p>
                    <w:pPr>
                      <w:spacing w:line="201" w:lineRule="exact" w:before="0"/>
                      <w:ind w:left="2" w:right="18" w:firstLine="0"/>
                      <w:jc w:val="center"/>
                      <w:rPr>
                        <w:sz w:val="18"/>
                      </w:rPr>
                    </w:pPr>
                    <w:r>
                      <w:rPr>
                        <w:color w:val="FFFFFF"/>
                        <w:sz w:val="18"/>
                      </w:rPr>
                      <w:t>1.</w:t>
                    </w:r>
                  </w:p>
                  <w:p>
                    <w:pPr>
                      <w:spacing w:before="50"/>
                      <w:ind w:left="-1" w:right="18" w:firstLine="0"/>
                      <w:jc w:val="center"/>
                      <w:rPr>
                        <w:sz w:val="18"/>
                      </w:rPr>
                    </w:pPr>
                    <w:r>
                      <w:rPr>
                        <w:color w:val="FFFFFF"/>
                        <w:sz w:val="18"/>
                      </w:rPr>
                      <w:t>Schulden</w:t>
                    </w:r>
                  </w:p>
                </w:txbxContent>
              </v:textbox>
              <w10:wrap type="none"/>
            </v:shape>
            <v:shape style="position:absolute;left:466;top:1688;width:498;height:574" type="#_x0000_t202" filled="false" stroked="false">
              <v:textbox inset="0,0,0,0">
                <w:txbxContent>
                  <w:p>
                    <w:pPr>
                      <w:spacing w:line="190" w:lineRule="exact" w:before="0"/>
                      <w:ind w:left="138" w:right="169" w:firstLine="0"/>
                      <w:jc w:val="center"/>
                      <w:rPr>
                        <w:sz w:val="18"/>
                      </w:rPr>
                    </w:pPr>
                    <w:r>
                      <w:rPr>
                        <w:color w:val="FFFFFF"/>
                        <w:sz w:val="18"/>
                      </w:rPr>
                      <w:t>5.</w:t>
                    </w:r>
                  </w:p>
                  <w:p>
                    <w:pPr>
                      <w:spacing w:line="216" w:lineRule="auto" w:before="5"/>
                      <w:ind w:left="0" w:right="18" w:firstLine="36"/>
                      <w:jc w:val="center"/>
                      <w:rPr>
                        <w:sz w:val="18"/>
                      </w:rPr>
                    </w:pPr>
                    <w:r>
                      <w:rPr>
                        <w:color w:val="FFFFFF"/>
                        <w:sz w:val="18"/>
                      </w:rPr>
                      <w:t>Geld-</w:t>
                    </w:r>
                    <w:r>
                      <w:rPr>
                        <w:color w:val="FFFFFF"/>
                        <w:w w:val="99"/>
                        <w:sz w:val="18"/>
                      </w:rPr>
                      <w:t> </w:t>
                    </w:r>
                    <w:r>
                      <w:rPr>
                        <w:color w:val="FFFFFF"/>
                        <w:sz w:val="18"/>
                      </w:rPr>
                      <w:t>politik</w:t>
                    </w:r>
                  </w:p>
                </w:txbxContent>
              </v:textbox>
              <w10:wrap type="none"/>
            </v:shape>
            <v:shape style="position:absolute;left:3905;top:1625;width:726;height:574" type="#_x0000_t202" filled="false" stroked="false">
              <v:textbox inset="0,0,0,0">
                <w:txbxContent>
                  <w:p>
                    <w:pPr>
                      <w:spacing w:line="216" w:lineRule="auto" w:before="11"/>
                      <w:ind w:left="0" w:right="18" w:firstLine="84"/>
                      <w:jc w:val="left"/>
                      <w:rPr>
                        <w:sz w:val="18"/>
                      </w:rPr>
                    </w:pPr>
                    <w:r>
                      <w:rPr>
                        <w:color w:val="FFFFFF"/>
                        <w:sz w:val="18"/>
                      </w:rPr>
                      <w:t>2. Ver- mögens- bildung</w:t>
                    </w:r>
                  </w:p>
                </w:txbxContent>
              </v:textbox>
              <w10:wrap type="none"/>
            </v:shape>
            <v:shape style="position:absolute;left:2042;top:2313;width:900;height:475" type="#_x0000_t202" filled="false" stroked="false">
              <v:textbox inset="0,0,0,0">
                <w:txbxContent>
                  <w:p>
                    <w:pPr>
                      <w:spacing w:line="216" w:lineRule="auto" w:before="14"/>
                      <w:ind w:left="55" w:right="0" w:hanging="56"/>
                      <w:jc w:val="left"/>
                      <w:rPr>
                        <w:sz w:val="22"/>
                      </w:rPr>
                    </w:pPr>
                    <w:r>
                      <w:rPr>
                        <w:color w:val="FFFFFF"/>
                        <w:sz w:val="22"/>
                      </w:rPr>
                      <w:t>Financial Literacy</w:t>
                    </w:r>
                  </w:p>
                </w:txbxContent>
              </v:textbox>
              <w10:wrap type="none"/>
            </v:shape>
            <v:shape style="position:absolute;left:979;top:3785;width:824;height:574" type="#_x0000_t202" filled="false" stroked="false">
              <v:textbox inset="0,0,0,0">
                <w:txbxContent>
                  <w:p>
                    <w:pPr>
                      <w:spacing w:line="190" w:lineRule="exact" w:before="0"/>
                      <w:ind w:left="305" w:right="328" w:firstLine="0"/>
                      <w:jc w:val="center"/>
                      <w:rPr>
                        <w:sz w:val="18"/>
                      </w:rPr>
                    </w:pPr>
                    <w:r>
                      <w:rPr>
                        <w:color w:val="FFFFFF"/>
                        <w:sz w:val="18"/>
                      </w:rPr>
                      <w:t>4.</w:t>
                    </w:r>
                  </w:p>
                  <w:p>
                    <w:pPr>
                      <w:spacing w:line="216" w:lineRule="auto" w:before="5"/>
                      <w:ind w:left="-1" w:right="18" w:firstLine="0"/>
                      <w:jc w:val="center"/>
                      <w:rPr>
                        <w:sz w:val="18"/>
                      </w:rPr>
                    </w:pPr>
                    <w:r>
                      <w:rPr>
                        <w:color w:val="FFFFFF"/>
                        <w:sz w:val="18"/>
                      </w:rPr>
                      <w:t>Zahlungs- verkehr</w:t>
                    </w:r>
                  </w:p>
                </w:txbxContent>
              </v:textbox>
              <w10:wrap type="none"/>
            </v:shape>
            <v:shape style="position:absolute;left:3252;top:3599;width:686;height:946" type="#_x0000_t202" filled="false" stroked="false">
              <v:textbox inset="0,0,0,0">
                <w:txbxContent>
                  <w:p>
                    <w:pPr>
                      <w:spacing w:line="190" w:lineRule="exact" w:before="0"/>
                      <w:ind w:left="0" w:right="18" w:firstLine="0"/>
                      <w:jc w:val="center"/>
                      <w:rPr>
                        <w:sz w:val="18"/>
                      </w:rPr>
                    </w:pPr>
                    <w:r>
                      <w:rPr>
                        <w:color w:val="FFFFFF"/>
                        <w:sz w:val="18"/>
                      </w:rPr>
                      <w:t>3.</w:t>
                    </w:r>
                  </w:p>
                  <w:p>
                    <w:pPr>
                      <w:spacing w:line="216" w:lineRule="auto" w:before="5"/>
                      <w:ind w:left="0" w:right="18" w:firstLine="0"/>
                      <w:jc w:val="center"/>
                      <w:rPr>
                        <w:sz w:val="18"/>
                      </w:rPr>
                    </w:pPr>
                    <w:r>
                      <w:rPr>
                        <w:color w:val="FFFFFF"/>
                        <w:sz w:val="18"/>
                      </w:rPr>
                      <w:t>Versich- erungen und Steuern</w:t>
                    </w:r>
                  </w:p>
                </w:txbxContent>
              </v:textbox>
              <w10:wrap type="none"/>
            </v:shape>
          </v:group>
        </w:pict>
      </w:r>
      <w:r>
        <w:rPr>
          <w:sz w:val="20"/>
        </w:rPr>
      </w:r>
    </w:p>
    <w:p>
      <w:pPr>
        <w:spacing w:before="195"/>
        <w:ind w:left="218" w:right="0" w:firstLine="0"/>
        <w:jc w:val="both"/>
        <w:rPr>
          <w:i/>
          <w:sz w:val="20"/>
        </w:rPr>
      </w:pPr>
      <w:r>
        <w:rPr>
          <w:i/>
          <w:sz w:val="20"/>
        </w:rPr>
        <w:t>Abbildung 2: Inhaltliches Konstrukt</w:t>
      </w:r>
    </w:p>
    <w:p>
      <w:pPr>
        <w:pStyle w:val="BodyText"/>
        <w:rPr>
          <w:i/>
        </w:rPr>
      </w:pPr>
    </w:p>
    <w:p>
      <w:pPr>
        <w:pStyle w:val="BodyText"/>
        <w:spacing w:before="7"/>
        <w:rPr>
          <w:i/>
          <w:sz w:val="21"/>
        </w:rPr>
      </w:pPr>
    </w:p>
    <w:p>
      <w:pPr>
        <w:pStyle w:val="BodyText"/>
        <w:spacing w:line="360" w:lineRule="auto" w:before="1"/>
        <w:ind w:left="218" w:right="234"/>
        <w:jc w:val="both"/>
      </w:pPr>
      <w:r>
        <w:rPr/>
        <w:t>Das Messmodell sieht die in Kapitel 3 beschriebenen Kriterien vor, wobei Motivation und Volition mit Hilfe eines Einstellungstest zu Geld bei Jugendlichen und jungen Erwachsenen erhoben worden sind (Barry/Breuer 2012; Yamauchi/Templer 1982; Furnham 1984; Tang 1992).</w:t>
      </w:r>
    </w:p>
    <w:p>
      <w:pPr>
        <w:pStyle w:val="BodyText"/>
        <w:spacing w:line="360" w:lineRule="auto"/>
        <w:ind w:left="218" w:right="231"/>
        <w:jc w:val="both"/>
      </w:pPr>
      <w:r>
        <w:rPr/>
        <w:t>Wesentliche Neuerung zu den bisherigen Studien sind die online-gestützten Simulationen in Form von realitätsnahen Online-Tools. So sind in FILS Online-Rechner als Hilfetools und Simulationsaufgaben zum Onlinebanking mit verschiedenen Schwierigkeitsgraden imple- mentiert worden. Die Hilfetools werden schon lange von Finanzinstituten, Verbraucherzent- ralen oder Finanzdienstleistern dem Verbraucher zur Entscheidungsfindung angeboten.</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29"/>
        <w:jc w:val="both"/>
      </w:pPr>
      <w:r>
        <w:rPr/>
        <w:t>Sie sollen ihm bei der Meinungsbildung helfen und Vergleiche zwischen verschiedenen Op- tionen ermöglichen, die er ohne diese Unterstützung vielleicht nicht vornehmen kann. So haben sich im Jahr 2010 schon ca. 60 % der Kunden vor einem Kaufentscheid von Finanz- produkten online über Preise, Produkte und Möglichkeiten bei Anlage-, Vorsorge- oder Kre- ditentscheidungen (Krotsch/Locher 2012) informiert. Deshalb werden die gängigen Definitio- nen von financial literacy innerhalb der FILS-Studie um die Bedienung solcher Angebote erweitert. Im Zuge von erhöhten Individualisierungsprozessen, steigenden sozialen Risiken und der wachsenden Verantwortung, sich selber finanziell abzusichern (Schürz/Weber 2005), gehört nach Auffassung der Autoren die Fähigkeit, sich mit medialen Handlungsob- jekten auseinanderzusetzen, diese bedienen und die Ergebnisse einschätzen zu können, zum Anforderungsprofil innerhalb einer heutigen financial literacy. Vor allem das Treffen fi- nanziell geprägter Entscheidungen und das Abwägen von Risiken müssen wohl als wesent- liche Kompetenz eingeschätzt werden. Das Vertrauen in Finanzdienstleister und deren An- gebote sowie auch die individuelle Einschätzung von Raten, Sparzielen und Rentenhöhen wird durch die Fähigkeit, Online-Rechner zur eigenen Information und Vorsorge richtig be- dienen zu können, gesichert. Daher stellt diese Fähigkeit eine neue Messdimension und ein neues Teilkonstrukt in einer financial literacy dar. Die Online-Tools finden sich in den ver- schiedenen inhaltlichen Kontexten (vgl. Abbildung 4) wieder und sind eingebunden in ver- schiedene Rollenanforderungen und Situationen in den</w:t>
      </w:r>
      <w:r>
        <w:rPr>
          <w:spacing w:val="-6"/>
        </w:rPr>
        <w:t> </w:t>
      </w:r>
      <w:r>
        <w:rPr/>
        <w:t>Aufgabenformaten.</w:t>
      </w:r>
    </w:p>
    <w:p>
      <w:pPr>
        <w:pStyle w:val="BodyText"/>
        <w:spacing w:before="10"/>
        <w:rPr>
          <w:sz w:val="32"/>
        </w:rPr>
      </w:pPr>
    </w:p>
    <w:p>
      <w:pPr>
        <w:pStyle w:val="Heading1"/>
        <w:numPr>
          <w:ilvl w:val="0"/>
          <w:numId w:val="1"/>
        </w:numPr>
        <w:tabs>
          <w:tab w:pos="651" w:val="left" w:leader="none"/>
        </w:tabs>
        <w:spacing w:line="240" w:lineRule="auto" w:before="1" w:after="0"/>
        <w:ind w:left="650" w:right="0" w:hanging="433"/>
        <w:jc w:val="both"/>
      </w:pPr>
      <w:r>
        <w:rPr/>
        <w:t>Messverfahren und</w:t>
      </w:r>
      <w:r>
        <w:rPr>
          <w:spacing w:val="-1"/>
        </w:rPr>
        <w:t> </w:t>
      </w:r>
      <w:r>
        <w:rPr/>
        <w:t>Ergebnisse</w:t>
      </w:r>
    </w:p>
    <w:p>
      <w:pPr>
        <w:pStyle w:val="BodyText"/>
        <w:spacing w:line="360" w:lineRule="auto" w:before="151"/>
        <w:ind w:left="218" w:right="230"/>
        <w:jc w:val="both"/>
      </w:pPr>
      <w:r>
        <w:rPr/>
        <w:t>Zur Überprüfung der Messdimension werden die eingegebenen Werte der Schüler festgehal- ten und in einem ersten Schritt auf mögliche Typisierungen analysiert. Weiter lassen sich die Online-Tools nach ihrem Schwierigkeitsgrad sortieren, wobei sich dieser von einfachen Sparratenrechnern (mit bzw. ohne Zinsen) bis zu komplexen Rentenrechnern erstrecken. Aus den eingegebenen Werten in den jeweiligen Tools können spezifische fehlerhafte Ein- gaben eindeutig identifiziert werden, die in Abbildung 3 aufgeführt</w:t>
      </w:r>
      <w:r>
        <w:rPr>
          <w:spacing w:val="-5"/>
        </w:rPr>
        <w:t> </w:t>
      </w:r>
      <w:r>
        <w:rPr/>
        <w:t>werden.</w:t>
      </w:r>
    </w:p>
    <w:p>
      <w:pPr>
        <w:pStyle w:val="BodyText"/>
        <w:spacing w:line="360" w:lineRule="auto" w:before="1"/>
        <w:ind w:left="218" w:right="232"/>
        <w:jc w:val="both"/>
      </w:pPr>
      <w:r>
        <w:rPr/>
        <w:t>Die Identifizierung der Fehler lässt Rückschlüsse auf die Kompetenz der Schüler im Umgang mit den angebotenen Tools zu. Codiert wurden die Eingaben in die Tools mit 0 = Falsch,   0,5 = Fehlerhaft und 1 = Richtig. Als falsch codiert wurden Eingaben, die keinen eindeutigen Bezug zur Aufgabenstellung zeigten, bspw. einzelne fehlende Eingaben oder einzelne fal- sche Angaben. Unterschieden wird hier zwischen falsch und ungültig. Eingaben werden</w:t>
      </w:r>
      <w:r>
        <w:rPr>
          <w:spacing w:val="-19"/>
        </w:rPr>
        <w:t> </w:t>
      </w:r>
      <w:r>
        <w:rPr/>
        <w:t>als</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1"/>
        <w:jc w:val="both"/>
      </w:pPr>
      <w:r>
        <w:rPr/>
        <w:t>ungültig identifiziert, wenn zu erkennen ist, dass die Schüler in jedes Feld des Tools Zahlen- kombinationen eingegeben haben, die keinen Sinn ergeben. Eine fehlerhafte Bedienung liegt vor, wenn der Schüler aufgrund von fehlerhaften Eingaben (vgl. Abbildung 3: Typische Fehler) zu einem falschen Ergebnis gelangt</w:t>
      </w:r>
      <w:r>
        <w:rPr>
          <w:spacing w:val="-5"/>
        </w:rPr>
        <w:t> </w:t>
      </w:r>
      <w:r>
        <w:rPr/>
        <w:t>ist.</w:t>
      </w:r>
    </w:p>
    <w:p>
      <w:pPr>
        <w:pStyle w:val="BodyText"/>
        <w:rPr>
          <w:sz w:val="20"/>
        </w:rPr>
      </w:pPr>
    </w:p>
    <w:p>
      <w:pPr>
        <w:pStyle w:val="BodyText"/>
        <w:spacing w:before="1"/>
        <w:rPr>
          <w:sz w:val="13"/>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3509"/>
        <w:gridCol w:w="2638"/>
      </w:tblGrid>
      <w:tr>
        <w:trPr>
          <w:trHeight w:val="208" w:hRule="atLeast"/>
        </w:trPr>
        <w:tc>
          <w:tcPr>
            <w:tcW w:w="3113" w:type="dxa"/>
          </w:tcPr>
          <w:p>
            <w:pPr>
              <w:pStyle w:val="TableParagraph"/>
              <w:spacing w:line="188" w:lineRule="exact"/>
              <w:ind w:left="450" w:right="440"/>
              <w:jc w:val="center"/>
              <w:rPr>
                <w:b/>
                <w:sz w:val="18"/>
              </w:rPr>
            </w:pPr>
            <w:r>
              <w:rPr>
                <w:b/>
                <w:sz w:val="18"/>
              </w:rPr>
              <w:t>Typische Fehler</w:t>
            </w:r>
          </w:p>
        </w:tc>
        <w:tc>
          <w:tcPr>
            <w:tcW w:w="3509" w:type="dxa"/>
          </w:tcPr>
          <w:p>
            <w:pPr>
              <w:pStyle w:val="TableParagraph"/>
              <w:spacing w:line="188" w:lineRule="exact"/>
              <w:ind w:left="167" w:right="161"/>
              <w:jc w:val="center"/>
              <w:rPr>
                <w:b/>
                <w:sz w:val="18"/>
              </w:rPr>
            </w:pPr>
            <w:r>
              <w:rPr>
                <w:b/>
                <w:sz w:val="18"/>
              </w:rPr>
              <w:t>Ursache</w:t>
            </w:r>
          </w:p>
        </w:tc>
        <w:tc>
          <w:tcPr>
            <w:tcW w:w="2638" w:type="dxa"/>
          </w:tcPr>
          <w:p>
            <w:pPr>
              <w:pStyle w:val="TableParagraph"/>
              <w:spacing w:line="188" w:lineRule="exact"/>
              <w:ind w:left="179" w:right="164"/>
              <w:jc w:val="center"/>
              <w:rPr>
                <w:b/>
                <w:sz w:val="18"/>
              </w:rPr>
            </w:pPr>
            <w:r>
              <w:rPr>
                <w:b/>
                <w:sz w:val="18"/>
              </w:rPr>
              <w:t>Beispiel</w:t>
            </w:r>
          </w:p>
        </w:tc>
      </w:tr>
      <w:tr>
        <w:trPr>
          <w:trHeight w:val="827" w:hRule="atLeast"/>
        </w:trPr>
        <w:tc>
          <w:tcPr>
            <w:tcW w:w="3113" w:type="dxa"/>
            <w:shd w:val="clear" w:color="auto" w:fill="EED2D2"/>
          </w:tcPr>
          <w:p>
            <w:pPr>
              <w:pStyle w:val="TableParagraph"/>
              <w:spacing w:before="9"/>
              <w:rPr>
                <w:sz w:val="17"/>
              </w:rPr>
            </w:pPr>
          </w:p>
          <w:p>
            <w:pPr>
              <w:pStyle w:val="TableParagraph"/>
              <w:spacing w:before="1"/>
              <w:ind w:left="746" w:right="162" w:hanging="557"/>
              <w:rPr>
                <w:sz w:val="18"/>
              </w:rPr>
            </w:pPr>
            <w:r>
              <w:rPr>
                <w:sz w:val="18"/>
              </w:rPr>
              <w:t>Es werden die falschen Werte aus dem Text eingesetzt</w:t>
            </w:r>
          </w:p>
        </w:tc>
        <w:tc>
          <w:tcPr>
            <w:tcW w:w="3509" w:type="dxa"/>
            <w:shd w:val="clear" w:color="auto" w:fill="EED2D2"/>
          </w:tcPr>
          <w:p>
            <w:pPr>
              <w:pStyle w:val="TableParagraph"/>
              <w:spacing w:before="9"/>
              <w:rPr>
                <w:sz w:val="17"/>
              </w:rPr>
            </w:pPr>
          </w:p>
          <w:p>
            <w:pPr>
              <w:pStyle w:val="TableParagraph"/>
              <w:spacing w:before="1"/>
              <w:ind w:left="124" w:right="122" w:hanging="2"/>
              <w:jc w:val="center"/>
              <w:rPr>
                <w:sz w:val="18"/>
              </w:rPr>
            </w:pPr>
            <w:r>
              <w:rPr>
                <w:sz w:val="18"/>
              </w:rPr>
              <w:t>Aufgabe nicht verstanden; dem Text/Angebot wurden die falschen Werte</w:t>
            </w:r>
          </w:p>
          <w:p>
            <w:pPr>
              <w:pStyle w:val="TableParagraph"/>
              <w:spacing w:line="187" w:lineRule="exact" w:before="1"/>
              <w:ind w:left="167" w:right="161"/>
              <w:jc w:val="center"/>
              <w:rPr>
                <w:sz w:val="18"/>
              </w:rPr>
            </w:pPr>
            <w:r>
              <w:rPr>
                <w:sz w:val="18"/>
              </w:rPr>
              <w:t>entnommen</w:t>
            </w:r>
          </w:p>
        </w:tc>
        <w:tc>
          <w:tcPr>
            <w:tcW w:w="2638" w:type="dxa"/>
            <w:shd w:val="clear" w:color="auto" w:fill="EED2D2"/>
          </w:tcPr>
          <w:p>
            <w:pPr>
              <w:pStyle w:val="TableParagraph"/>
              <w:spacing w:before="9"/>
              <w:rPr>
                <w:sz w:val="26"/>
              </w:rPr>
            </w:pPr>
          </w:p>
          <w:p>
            <w:pPr>
              <w:pStyle w:val="TableParagraph"/>
              <w:ind w:left="175" w:right="167"/>
              <w:jc w:val="center"/>
              <w:rPr>
                <w:sz w:val="18"/>
              </w:rPr>
            </w:pPr>
            <w:r>
              <w:rPr>
                <w:sz w:val="18"/>
              </w:rPr>
              <w:t>Mindestpreis statt Kaufpreis</w:t>
            </w:r>
          </w:p>
        </w:tc>
      </w:tr>
      <w:tr>
        <w:trPr>
          <w:trHeight w:val="1449" w:hRule="atLeast"/>
        </w:trPr>
        <w:tc>
          <w:tcPr>
            <w:tcW w:w="3113" w:type="dxa"/>
          </w:tcPr>
          <w:p>
            <w:pPr>
              <w:pStyle w:val="TableParagraph"/>
              <w:rPr>
                <w:sz w:val="20"/>
              </w:rPr>
            </w:pPr>
          </w:p>
          <w:p>
            <w:pPr>
              <w:pStyle w:val="TableParagraph"/>
              <w:rPr>
                <w:sz w:val="25"/>
              </w:rPr>
            </w:pPr>
          </w:p>
          <w:p>
            <w:pPr>
              <w:pStyle w:val="TableParagraph"/>
              <w:ind w:left="746" w:right="139" w:hanging="584"/>
              <w:rPr>
                <w:sz w:val="18"/>
              </w:rPr>
            </w:pPr>
            <w:r>
              <w:rPr>
                <w:sz w:val="18"/>
              </w:rPr>
              <w:t>Falsche Zahlen wurden in einzelne Felder übernommen</w:t>
            </w:r>
          </w:p>
        </w:tc>
        <w:tc>
          <w:tcPr>
            <w:tcW w:w="3509" w:type="dxa"/>
          </w:tcPr>
          <w:p>
            <w:pPr>
              <w:pStyle w:val="TableParagraph"/>
              <w:spacing w:before="10"/>
              <w:rPr>
                <w:sz w:val="17"/>
              </w:rPr>
            </w:pPr>
          </w:p>
          <w:p>
            <w:pPr>
              <w:pStyle w:val="TableParagraph"/>
              <w:ind w:left="115" w:right="108" w:hanging="3"/>
              <w:jc w:val="center"/>
              <w:rPr>
                <w:sz w:val="18"/>
              </w:rPr>
            </w:pPr>
            <w:r>
              <w:rPr>
                <w:sz w:val="18"/>
              </w:rPr>
              <w:t>Begriffe der Felder (bspw. Rendite) sind nicht bekannt oder werden mit anderen Begriffen in Verbindung gebracht. Ob- wohl im Text Rendite mit</w:t>
            </w:r>
            <w:r>
              <w:rPr>
                <w:spacing w:val="-12"/>
                <w:sz w:val="18"/>
              </w:rPr>
              <w:t> </w:t>
            </w:r>
            <w:r>
              <w:rPr>
                <w:sz w:val="18"/>
              </w:rPr>
              <w:t>entsprechender Zahl angegeben wird, wird trotzdem</w:t>
            </w:r>
            <w:r>
              <w:rPr>
                <w:spacing w:val="-10"/>
                <w:sz w:val="18"/>
              </w:rPr>
              <w:t> </w:t>
            </w:r>
            <w:r>
              <w:rPr>
                <w:sz w:val="18"/>
              </w:rPr>
              <w:t>ein</w:t>
            </w:r>
          </w:p>
          <w:p>
            <w:pPr>
              <w:pStyle w:val="TableParagraph"/>
              <w:spacing w:line="187" w:lineRule="exact" w:before="2"/>
              <w:ind w:left="167" w:right="165"/>
              <w:jc w:val="center"/>
              <w:rPr>
                <w:sz w:val="18"/>
              </w:rPr>
            </w:pPr>
            <w:r>
              <w:rPr>
                <w:sz w:val="18"/>
              </w:rPr>
              <w:t>anderer Wert (bspw. Lohn)</w:t>
            </w:r>
            <w:r>
              <w:rPr>
                <w:spacing w:val="-16"/>
                <w:sz w:val="18"/>
              </w:rPr>
              <w:t> </w:t>
            </w:r>
            <w:r>
              <w:rPr>
                <w:sz w:val="18"/>
              </w:rPr>
              <w:t>eingetragen</w:t>
            </w:r>
          </w:p>
        </w:tc>
        <w:tc>
          <w:tcPr>
            <w:tcW w:w="2638" w:type="dxa"/>
          </w:tcPr>
          <w:p>
            <w:pPr>
              <w:pStyle w:val="TableParagraph"/>
              <w:rPr>
                <w:sz w:val="20"/>
              </w:rPr>
            </w:pPr>
          </w:p>
          <w:p>
            <w:pPr>
              <w:pStyle w:val="TableParagraph"/>
              <w:rPr>
                <w:sz w:val="16"/>
              </w:rPr>
            </w:pPr>
          </w:p>
          <w:p>
            <w:pPr>
              <w:pStyle w:val="TableParagraph"/>
              <w:ind w:left="518" w:right="506" w:firstLine="4"/>
              <w:jc w:val="center"/>
              <w:rPr>
                <w:sz w:val="18"/>
              </w:rPr>
            </w:pPr>
            <w:r>
              <w:rPr>
                <w:sz w:val="18"/>
              </w:rPr>
              <w:t>Rentenrechner Laufzeiten, Rendite,</w:t>
            </w:r>
          </w:p>
          <w:p>
            <w:pPr>
              <w:pStyle w:val="TableParagraph"/>
              <w:spacing w:line="206" w:lineRule="exact"/>
              <w:ind w:left="179" w:right="167"/>
              <w:jc w:val="center"/>
              <w:rPr>
                <w:sz w:val="18"/>
              </w:rPr>
            </w:pPr>
            <w:r>
              <w:rPr>
                <w:sz w:val="18"/>
              </w:rPr>
              <w:t>Ein- und Auszahlungsphase</w:t>
            </w:r>
          </w:p>
        </w:tc>
      </w:tr>
      <w:tr>
        <w:trPr>
          <w:trHeight w:val="827" w:hRule="atLeast"/>
        </w:trPr>
        <w:tc>
          <w:tcPr>
            <w:tcW w:w="3113" w:type="dxa"/>
            <w:shd w:val="clear" w:color="auto" w:fill="EED2D2"/>
          </w:tcPr>
          <w:p>
            <w:pPr>
              <w:pStyle w:val="TableParagraph"/>
              <w:spacing w:before="9"/>
              <w:rPr>
                <w:sz w:val="26"/>
              </w:rPr>
            </w:pPr>
          </w:p>
          <w:p>
            <w:pPr>
              <w:pStyle w:val="TableParagraph"/>
              <w:ind w:left="450" w:right="441"/>
              <w:jc w:val="center"/>
              <w:rPr>
                <w:sz w:val="18"/>
              </w:rPr>
            </w:pPr>
            <w:r>
              <w:rPr>
                <w:sz w:val="18"/>
              </w:rPr>
              <w:t>Punkt- und Kommasetzung</w:t>
            </w:r>
          </w:p>
        </w:tc>
        <w:tc>
          <w:tcPr>
            <w:tcW w:w="3509" w:type="dxa"/>
            <w:shd w:val="clear" w:color="auto" w:fill="EED2D2"/>
          </w:tcPr>
          <w:p>
            <w:pPr>
              <w:pStyle w:val="TableParagraph"/>
              <w:spacing w:before="9"/>
              <w:rPr>
                <w:sz w:val="17"/>
              </w:rPr>
            </w:pPr>
          </w:p>
          <w:p>
            <w:pPr>
              <w:pStyle w:val="TableParagraph"/>
              <w:spacing w:before="1"/>
              <w:ind w:left="146" w:right="135" w:hanging="11"/>
              <w:jc w:val="center"/>
              <w:rPr>
                <w:sz w:val="18"/>
              </w:rPr>
            </w:pPr>
            <w:r>
              <w:rPr>
                <w:sz w:val="18"/>
              </w:rPr>
              <w:t>Trennzeichen im Text werden direkt übernommen bzw. Zeichen werden aus-</w:t>
            </w:r>
          </w:p>
          <w:p>
            <w:pPr>
              <w:pStyle w:val="TableParagraph"/>
              <w:spacing w:line="187" w:lineRule="exact" w:before="1"/>
              <w:ind w:left="167" w:right="163"/>
              <w:jc w:val="center"/>
              <w:rPr>
                <w:sz w:val="18"/>
              </w:rPr>
            </w:pPr>
            <w:r>
              <w:rPr>
                <w:sz w:val="18"/>
              </w:rPr>
              <w:t>getauscht</w:t>
            </w:r>
          </w:p>
        </w:tc>
        <w:tc>
          <w:tcPr>
            <w:tcW w:w="2638" w:type="dxa"/>
            <w:shd w:val="clear" w:color="auto" w:fill="EED2D2"/>
          </w:tcPr>
          <w:p>
            <w:pPr>
              <w:pStyle w:val="TableParagraph"/>
              <w:spacing w:before="9"/>
              <w:rPr>
                <w:sz w:val="17"/>
              </w:rPr>
            </w:pPr>
          </w:p>
          <w:p>
            <w:pPr>
              <w:pStyle w:val="TableParagraph"/>
              <w:spacing w:before="1"/>
              <w:ind w:left="179" w:right="167"/>
              <w:jc w:val="center"/>
              <w:rPr>
                <w:sz w:val="18"/>
              </w:rPr>
            </w:pPr>
            <w:r>
              <w:rPr>
                <w:sz w:val="18"/>
              </w:rPr>
              <w:t>1.415 </w:t>
            </w:r>
            <w:r>
              <w:rPr>
                <w:rFonts w:ascii="Wingdings" w:hAnsi="Wingdings"/>
                <w:sz w:val="18"/>
              </w:rPr>
              <w:t></w:t>
            </w:r>
            <w:r>
              <w:rPr>
                <w:rFonts w:ascii="Times New Roman" w:hAnsi="Times New Roman"/>
                <w:sz w:val="18"/>
              </w:rPr>
              <w:t> </w:t>
            </w:r>
            <w:r>
              <w:rPr>
                <w:sz w:val="18"/>
              </w:rPr>
              <w:t>1,415</w:t>
            </w:r>
          </w:p>
        </w:tc>
      </w:tr>
      <w:tr>
        <w:trPr>
          <w:trHeight w:val="1449" w:hRule="atLeast"/>
        </w:trPr>
        <w:tc>
          <w:tcPr>
            <w:tcW w:w="3113" w:type="dxa"/>
          </w:tcPr>
          <w:p>
            <w:pPr>
              <w:pStyle w:val="TableParagraph"/>
              <w:rPr>
                <w:sz w:val="20"/>
              </w:rPr>
            </w:pPr>
          </w:p>
          <w:p>
            <w:pPr>
              <w:pStyle w:val="TableParagraph"/>
              <w:spacing w:before="11"/>
              <w:rPr>
                <w:sz w:val="24"/>
              </w:rPr>
            </w:pPr>
          </w:p>
          <w:p>
            <w:pPr>
              <w:pStyle w:val="TableParagraph"/>
              <w:ind w:left="890" w:right="742" w:hanging="120"/>
              <w:rPr>
                <w:sz w:val="18"/>
              </w:rPr>
            </w:pPr>
            <w:r>
              <w:rPr>
                <w:sz w:val="18"/>
              </w:rPr>
              <w:t>Umrechnungsfehler (Jahre - Monate)</w:t>
            </w:r>
          </w:p>
        </w:tc>
        <w:tc>
          <w:tcPr>
            <w:tcW w:w="3509" w:type="dxa"/>
          </w:tcPr>
          <w:p>
            <w:pPr>
              <w:pStyle w:val="TableParagraph"/>
              <w:spacing w:before="9"/>
              <w:rPr>
                <w:sz w:val="17"/>
              </w:rPr>
            </w:pPr>
          </w:p>
          <w:p>
            <w:pPr>
              <w:pStyle w:val="TableParagraph"/>
              <w:spacing w:before="1"/>
              <w:ind w:left="105" w:right="95" w:hanging="11"/>
              <w:jc w:val="center"/>
              <w:rPr>
                <w:sz w:val="18"/>
              </w:rPr>
            </w:pPr>
            <w:r>
              <w:rPr>
                <w:sz w:val="18"/>
              </w:rPr>
              <w:t>Im Text sind Jahre angegeben, Monate müssen in den Rechner eingetragen werden. Es werden jedoch Jahre überge- tragen oder eine falsche Monatsanzahl ausgerechnet; z. T. kann dies auch auf</w:t>
            </w:r>
          </w:p>
          <w:p>
            <w:pPr>
              <w:pStyle w:val="TableParagraph"/>
              <w:spacing w:line="187" w:lineRule="exact" w:before="1"/>
              <w:ind w:left="167" w:right="164"/>
              <w:jc w:val="center"/>
              <w:rPr>
                <w:sz w:val="18"/>
              </w:rPr>
            </w:pPr>
            <w:r>
              <w:rPr>
                <w:sz w:val="18"/>
              </w:rPr>
              <w:t>Überlesen zurückgeführt werden.</w:t>
            </w:r>
          </w:p>
        </w:tc>
        <w:tc>
          <w:tcPr>
            <w:tcW w:w="2638" w:type="dxa"/>
          </w:tcPr>
          <w:p>
            <w:pPr>
              <w:pStyle w:val="TableParagraph"/>
              <w:rPr>
                <w:sz w:val="20"/>
              </w:rPr>
            </w:pPr>
          </w:p>
          <w:p>
            <w:pPr>
              <w:pStyle w:val="TableParagraph"/>
              <w:rPr>
                <w:sz w:val="16"/>
              </w:rPr>
            </w:pPr>
          </w:p>
          <w:p>
            <w:pPr>
              <w:pStyle w:val="TableParagraph"/>
              <w:ind w:left="312" w:right="300" w:hanging="2"/>
              <w:jc w:val="center"/>
              <w:rPr>
                <w:sz w:val="18"/>
              </w:rPr>
            </w:pPr>
            <w:r>
              <w:rPr>
                <w:sz w:val="18"/>
              </w:rPr>
              <w:t>3 Jahre werden mit 3 eingegeben und nicht mit 36 Monaten</w:t>
            </w:r>
          </w:p>
        </w:tc>
      </w:tr>
    </w:tbl>
    <w:p>
      <w:pPr>
        <w:spacing w:before="115"/>
        <w:ind w:left="218" w:right="0" w:firstLine="0"/>
        <w:jc w:val="both"/>
        <w:rPr>
          <w:i/>
          <w:sz w:val="20"/>
        </w:rPr>
      </w:pPr>
      <w:r>
        <w:rPr>
          <w:i/>
          <w:sz w:val="20"/>
        </w:rPr>
        <w:t>Abbildung 3: Typische Fehler</w:t>
      </w:r>
    </w:p>
    <w:p>
      <w:pPr>
        <w:pStyle w:val="BodyText"/>
        <w:rPr>
          <w:i/>
        </w:rPr>
      </w:pPr>
    </w:p>
    <w:p>
      <w:pPr>
        <w:pStyle w:val="BodyText"/>
        <w:spacing w:before="8"/>
        <w:rPr>
          <w:i/>
          <w:sz w:val="21"/>
        </w:rPr>
      </w:pPr>
    </w:p>
    <w:p>
      <w:pPr>
        <w:pStyle w:val="BodyText"/>
        <w:spacing w:line="360" w:lineRule="auto"/>
        <w:ind w:left="218" w:right="230"/>
        <w:jc w:val="both"/>
      </w:pPr>
      <w:r>
        <w:rPr/>
        <w:t>Die Korrelation der einzelnen Tools untereinander ergibt einen signifikanten Zusammenhang zwischen den jeweiligen Tools unter Berücksichtigung ihres Schwierigkeitsgrads </w:t>
      </w:r>
      <w:r>
        <w:rPr>
          <w:i/>
        </w:rPr>
        <w:t>p</w:t>
      </w:r>
      <w:r>
        <w:rPr/>
        <w:t>, des in- haltlichen Kontextes und der Aufgabenstellung.</w:t>
      </w:r>
    </w:p>
    <w:p>
      <w:pPr>
        <w:pStyle w:val="BodyText"/>
        <w:spacing w:line="360" w:lineRule="auto"/>
        <w:ind w:left="218" w:right="232"/>
        <w:jc w:val="both"/>
      </w:pPr>
      <w:r>
        <w:rPr/>
        <w:t>Die dargestellten Korrelationen sind auf einem Niveau von 0,01 (zweiseitig) hoch signifikant. Ausnahmen bilden einzelne Korrelationen zwischen den Online-Tools Verschuldung und Versichern und Steuern sowie zwischen Vermögensbildung und Verschuldung.</w:t>
      </w:r>
    </w:p>
    <w:p>
      <w:pPr>
        <w:pStyle w:val="BodyText"/>
        <w:spacing w:line="360" w:lineRule="auto" w:before="1"/>
        <w:ind w:left="218" w:right="233"/>
        <w:jc w:val="both"/>
      </w:pPr>
      <w:r>
        <w:rPr/>
        <w:t>Die signifikanten Korrelationen lassen die Vermutung zu, dass die gewonnenen und codier- ten Daten der einzelnen Online-Tools in unterschiedlichen inhaltlichen Kontexten, Rollen und Situationen das gleiche Konstrukt – Bedienung von medialen Handlungsobjekten – messen. Zur Bestätigung dieser Vermutung werden die Werte der Trennschärfekoeffizienten </w:t>
      </w:r>
      <w:r>
        <w:rPr>
          <w:i/>
        </w:rPr>
        <w:t>r</w:t>
      </w:r>
      <w:r>
        <w:rPr>
          <w:i/>
          <w:vertAlign w:val="subscript"/>
        </w:rPr>
        <w:t>it</w:t>
      </w:r>
      <w:r>
        <w:rPr>
          <w:i/>
          <w:vertAlign w:val="baseline"/>
        </w:rPr>
        <w:t> </w:t>
      </w:r>
      <w:r>
        <w:rPr>
          <w:vertAlign w:val="baseline"/>
        </w:rPr>
        <w:t>im Rahmen eines Reliabilitätstests betrachtet.</w:t>
      </w:r>
    </w:p>
    <w:p>
      <w:pPr>
        <w:spacing w:after="0" w:line="360" w:lineRule="auto"/>
        <w:jc w:val="both"/>
        <w:sectPr>
          <w:pgSz w:w="11880" w:h="16800"/>
          <w:pgMar w:header="1432" w:footer="840" w:top="2040" w:bottom="1040" w:left="1200" w:right="1180"/>
        </w:sectPr>
      </w:pPr>
    </w:p>
    <w:p>
      <w:pPr>
        <w:pStyle w:val="BodyText"/>
        <w:spacing w:before="1"/>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1685"/>
        <w:gridCol w:w="852"/>
        <w:gridCol w:w="847"/>
        <w:gridCol w:w="855"/>
        <w:gridCol w:w="850"/>
        <w:gridCol w:w="852"/>
        <w:gridCol w:w="850"/>
        <w:gridCol w:w="818"/>
        <w:gridCol w:w="856"/>
      </w:tblGrid>
      <w:tr>
        <w:trPr>
          <w:trHeight w:val="827" w:hRule="atLeast"/>
        </w:trPr>
        <w:tc>
          <w:tcPr>
            <w:tcW w:w="2272" w:type="dxa"/>
            <w:gridSpan w:val="2"/>
            <w:tcBorders>
              <w:bottom w:val="single" w:sz="8" w:space="0" w:color="000000"/>
            </w:tcBorders>
            <w:shd w:val="clear" w:color="auto" w:fill="8DB3E1"/>
          </w:tcPr>
          <w:p>
            <w:pPr>
              <w:pStyle w:val="TableParagraph"/>
              <w:spacing w:before="4"/>
              <w:rPr>
                <w:sz w:val="26"/>
              </w:rPr>
            </w:pPr>
          </w:p>
          <w:p>
            <w:pPr>
              <w:pStyle w:val="TableParagraph"/>
              <w:ind w:left="525"/>
              <w:rPr>
                <w:b/>
                <w:sz w:val="18"/>
              </w:rPr>
            </w:pPr>
            <w:r>
              <w:rPr>
                <w:b/>
                <w:sz w:val="18"/>
              </w:rPr>
              <w:t>Inhaltsbereich</w:t>
            </w:r>
          </w:p>
        </w:tc>
        <w:tc>
          <w:tcPr>
            <w:tcW w:w="2554" w:type="dxa"/>
            <w:gridSpan w:val="3"/>
            <w:tcBorders>
              <w:bottom w:val="double" w:sz="1" w:space="0" w:color="000000"/>
            </w:tcBorders>
            <w:shd w:val="clear" w:color="auto" w:fill="8DB3E1"/>
          </w:tcPr>
          <w:p>
            <w:pPr>
              <w:pStyle w:val="TableParagraph"/>
              <w:spacing w:before="4"/>
              <w:rPr>
                <w:sz w:val="26"/>
              </w:rPr>
            </w:pPr>
          </w:p>
          <w:p>
            <w:pPr>
              <w:pStyle w:val="TableParagraph"/>
              <w:ind w:left="677"/>
              <w:rPr>
                <w:b/>
                <w:sz w:val="18"/>
              </w:rPr>
            </w:pPr>
            <w:r>
              <w:rPr>
                <w:b/>
                <w:sz w:val="18"/>
              </w:rPr>
              <w:t>Verschuldung</w:t>
            </w:r>
          </w:p>
        </w:tc>
        <w:tc>
          <w:tcPr>
            <w:tcW w:w="3370" w:type="dxa"/>
            <w:gridSpan w:val="4"/>
            <w:tcBorders>
              <w:bottom w:val="double" w:sz="1" w:space="0" w:color="000000"/>
            </w:tcBorders>
            <w:shd w:val="clear" w:color="auto" w:fill="8DB3E1"/>
          </w:tcPr>
          <w:p>
            <w:pPr>
              <w:pStyle w:val="TableParagraph"/>
              <w:rPr>
                <w:sz w:val="20"/>
              </w:rPr>
            </w:pPr>
          </w:p>
          <w:p>
            <w:pPr>
              <w:pStyle w:val="TableParagraph"/>
              <w:spacing w:before="131"/>
              <w:ind w:left="869"/>
              <w:rPr>
                <w:b/>
                <w:sz w:val="18"/>
              </w:rPr>
            </w:pPr>
            <w:r>
              <w:rPr>
                <w:b/>
                <w:sz w:val="18"/>
              </w:rPr>
              <w:t>Vermögensbildung</w:t>
            </w:r>
          </w:p>
        </w:tc>
        <w:tc>
          <w:tcPr>
            <w:tcW w:w="856" w:type="dxa"/>
            <w:tcBorders>
              <w:bottom w:val="double" w:sz="1" w:space="0" w:color="000000"/>
            </w:tcBorders>
            <w:shd w:val="clear" w:color="auto" w:fill="8DB3E1"/>
          </w:tcPr>
          <w:p>
            <w:pPr>
              <w:pStyle w:val="TableParagraph"/>
              <w:ind w:left="183" w:right="163" w:hanging="5"/>
              <w:jc w:val="both"/>
              <w:rPr>
                <w:b/>
                <w:sz w:val="18"/>
              </w:rPr>
            </w:pPr>
            <w:r>
              <w:rPr>
                <w:b/>
                <w:sz w:val="18"/>
              </w:rPr>
              <w:t>Versi- chern und</w:t>
            </w:r>
          </w:p>
          <w:p>
            <w:pPr>
              <w:pStyle w:val="TableParagraph"/>
              <w:spacing w:line="191" w:lineRule="exact"/>
              <w:ind w:left="94"/>
              <w:rPr>
                <w:b/>
                <w:sz w:val="18"/>
              </w:rPr>
            </w:pPr>
            <w:r>
              <w:rPr>
                <w:b/>
                <w:sz w:val="18"/>
              </w:rPr>
              <w:t>Steuern</w:t>
            </w:r>
          </w:p>
        </w:tc>
      </w:tr>
      <w:tr>
        <w:trPr>
          <w:trHeight w:val="1242" w:hRule="atLeast"/>
        </w:trPr>
        <w:tc>
          <w:tcPr>
            <w:tcW w:w="587" w:type="dxa"/>
            <w:tcBorders>
              <w:top w:val="single" w:sz="8" w:space="0" w:color="000000"/>
            </w:tcBorders>
            <w:shd w:val="clear" w:color="auto" w:fill="8DB3E1"/>
            <w:textDirection w:val="btLr"/>
          </w:tcPr>
          <w:p>
            <w:pPr>
              <w:pStyle w:val="TableParagraph"/>
              <w:spacing w:line="244" w:lineRule="auto" w:before="73"/>
              <w:ind w:left="404" w:right="189" w:hanging="212"/>
              <w:rPr>
                <w:b/>
                <w:sz w:val="18"/>
              </w:rPr>
            </w:pPr>
            <w:r>
              <w:rPr>
                <w:b/>
                <w:sz w:val="18"/>
              </w:rPr>
              <w:t>Inhaltsbe- reich</w:t>
            </w:r>
          </w:p>
        </w:tc>
        <w:tc>
          <w:tcPr>
            <w:tcW w:w="1685" w:type="dxa"/>
            <w:tcBorders>
              <w:top w:val="double" w:sz="1" w:space="0" w:color="000000"/>
              <w:bottom w:val="double" w:sz="1" w:space="0" w:color="000000"/>
              <w:right w:val="double" w:sz="2" w:space="0" w:color="000000"/>
            </w:tcBorders>
          </w:tcPr>
          <w:p>
            <w:pPr>
              <w:pStyle w:val="TableParagraph"/>
              <w:rPr>
                <w:sz w:val="27"/>
              </w:rPr>
            </w:pPr>
          </w:p>
          <w:p>
            <w:pPr>
              <w:pStyle w:val="TableParagraph"/>
              <w:ind w:left="48" w:right="8"/>
              <w:rPr>
                <w:sz w:val="18"/>
              </w:rPr>
            </w:pPr>
            <w:r>
              <w:rPr>
                <w:sz w:val="18"/>
              </w:rPr>
              <w:t>Simulationsaufga- ben aus dem inhalt- lichen Kontext</w:t>
            </w:r>
          </w:p>
        </w:tc>
        <w:tc>
          <w:tcPr>
            <w:tcW w:w="852" w:type="dxa"/>
            <w:tcBorders>
              <w:top w:val="double" w:sz="1" w:space="0" w:color="000000"/>
              <w:left w:val="double" w:sz="2" w:space="0" w:color="000000"/>
              <w:bottom w:val="double" w:sz="1" w:space="0" w:color="000000"/>
            </w:tcBorders>
          </w:tcPr>
          <w:p>
            <w:pPr>
              <w:pStyle w:val="TableParagraph"/>
              <w:rPr>
                <w:sz w:val="18"/>
              </w:rPr>
            </w:pPr>
          </w:p>
          <w:p>
            <w:pPr>
              <w:pStyle w:val="TableParagraph"/>
              <w:ind w:left="58" w:right="136"/>
              <w:rPr>
                <w:sz w:val="18"/>
              </w:rPr>
            </w:pPr>
            <w:r>
              <w:rPr>
                <w:sz w:val="18"/>
              </w:rPr>
              <w:t>Kredit- rechner (ohne Zinsen)</w:t>
            </w:r>
          </w:p>
        </w:tc>
        <w:tc>
          <w:tcPr>
            <w:tcW w:w="847" w:type="dxa"/>
            <w:tcBorders>
              <w:top w:val="double" w:sz="1" w:space="0" w:color="000000"/>
              <w:bottom w:val="double" w:sz="1" w:space="0" w:color="000000"/>
            </w:tcBorders>
          </w:tcPr>
          <w:p>
            <w:pPr>
              <w:pStyle w:val="TableParagraph"/>
              <w:rPr>
                <w:sz w:val="27"/>
              </w:rPr>
            </w:pPr>
          </w:p>
          <w:p>
            <w:pPr>
              <w:pStyle w:val="TableParagraph"/>
              <w:ind w:left="61" w:right="34"/>
              <w:rPr>
                <w:sz w:val="18"/>
              </w:rPr>
            </w:pPr>
            <w:r>
              <w:rPr>
                <w:sz w:val="18"/>
              </w:rPr>
              <w:t>Finanzie- rungs- rechner</w:t>
            </w:r>
          </w:p>
        </w:tc>
        <w:tc>
          <w:tcPr>
            <w:tcW w:w="855" w:type="dxa"/>
            <w:tcBorders>
              <w:top w:val="double" w:sz="1" w:space="0" w:color="000000"/>
              <w:bottom w:val="double" w:sz="1" w:space="0" w:color="000000"/>
            </w:tcBorders>
          </w:tcPr>
          <w:p>
            <w:pPr>
              <w:pStyle w:val="TableParagraph"/>
              <w:rPr>
                <w:sz w:val="18"/>
              </w:rPr>
            </w:pPr>
          </w:p>
          <w:p>
            <w:pPr>
              <w:pStyle w:val="TableParagraph"/>
              <w:ind w:left="63" w:right="151"/>
              <w:rPr>
                <w:sz w:val="18"/>
              </w:rPr>
            </w:pPr>
            <w:r>
              <w:rPr>
                <w:sz w:val="18"/>
              </w:rPr>
              <w:t>Kredit- rechner (mit Zinsen)</w:t>
            </w:r>
          </w:p>
        </w:tc>
        <w:tc>
          <w:tcPr>
            <w:tcW w:w="850" w:type="dxa"/>
            <w:tcBorders>
              <w:top w:val="double" w:sz="1" w:space="0" w:color="000000"/>
              <w:bottom w:val="double" w:sz="1" w:space="0" w:color="000000"/>
            </w:tcBorders>
          </w:tcPr>
          <w:p>
            <w:pPr>
              <w:pStyle w:val="TableParagraph"/>
              <w:spacing w:before="104"/>
              <w:ind w:left="65" w:right="160"/>
              <w:rPr>
                <w:sz w:val="18"/>
              </w:rPr>
            </w:pPr>
            <w:r>
              <w:rPr>
                <w:sz w:val="18"/>
              </w:rPr>
              <w:t>Spar- raten- rechner (Giro- konto)</w:t>
            </w:r>
          </w:p>
        </w:tc>
        <w:tc>
          <w:tcPr>
            <w:tcW w:w="852" w:type="dxa"/>
            <w:tcBorders>
              <w:top w:val="double" w:sz="1" w:space="0" w:color="000000"/>
              <w:bottom w:val="double" w:sz="1" w:space="0" w:color="000000"/>
            </w:tcBorders>
          </w:tcPr>
          <w:p>
            <w:pPr>
              <w:pStyle w:val="TableParagraph"/>
              <w:ind w:left="63" w:right="154"/>
              <w:rPr>
                <w:sz w:val="18"/>
              </w:rPr>
            </w:pPr>
            <w:r>
              <w:rPr>
                <w:sz w:val="18"/>
              </w:rPr>
              <w:t>Spar- raten- rechner (Tages- geld-</w:t>
            </w:r>
          </w:p>
          <w:p>
            <w:pPr>
              <w:pStyle w:val="TableParagraph"/>
              <w:spacing w:line="187" w:lineRule="exact"/>
              <w:ind w:left="63"/>
              <w:rPr>
                <w:sz w:val="18"/>
              </w:rPr>
            </w:pPr>
            <w:r>
              <w:rPr>
                <w:sz w:val="18"/>
              </w:rPr>
              <w:t>konto)</w:t>
            </w:r>
          </w:p>
        </w:tc>
        <w:tc>
          <w:tcPr>
            <w:tcW w:w="850" w:type="dxa"/>
            <w:tcBorders>
              <w:top w:val="double" w:sz="1" w:space="0" w:color="000000"/>
              <w:bottom w:val="double" w:sz="1" w:space="0" w:color="000000"/>
            </w:tcBorders>
          </w:tcPr>
          <w:p>
            <w:pPr>
              <w:pStyle w:val="TableParagraph"/>
              <w:ind w:left="65" w:right="149"/>
              <w:rPr>
                <w:sz w:val="18"/>
              </w:rPr>
            </w:pPr>
            <w:r>
              <w:rPr>
                <w:sz w:val="18"/>
              </w:rPr>
              <w:t>Spar- raten- rechner (Tages- geld-</w:t>
            </w:r>
          </w:p>
          <w:p>
            <w:pPr>
              <w:pStyle w:val="TableParagraph"/>
              <w:spacing w:line="187" w:lineRule="exact"/>
              <w:ind w:left="65"/>
              <w:rPr>
                <w:sz w:val="18"/>
              </w:rPr>
            </w:pPr>
            <w:r>
              <w:rPr>
                <w:sz w:val="18"/>
              </w:rPr>
              <w:t>konto)</w:t>
            </w:r>
          </w:p>
        </w:tc>
        <w:tc>
          <w:tcPr>
            <w:tcW w:w="818" w:type="dxa"/>
            <w:tcBorders>
              <w:top w:val="double" w:sz="1" w:space="0" w:color="000000"/>
              <w:bottom w:val="double" w:sz="1" w:space="0" w:color="000000"/>
            </w:tcBorders>
          </w:tcPr>
          <w:p>
            <w:pPr>
              <w:pStyle w:val="TableParagraph"/>
              <w:spacing w:before="104"/>
              <w:ind w:left="65" w:right="130"/>
              <w:rPr>
                <w:sz w:val="18"/>
              </w:rPr>
            </w:pPr>
            <w:r>
              <w:rPr>
                <w:sz w:val="18"/>
              </w:rPr>
              <w:t>Spar- raten- rechner (Spar- buch)</w:t>
            </w:r>
          </w:p>
        </w:tc>
        <w:tc>
          <w:tcPr>
            <w:tcW w:w="856" w:type="dxa"/>
            <w:tcBorders>
              <w:top w:val="double" w:sz="1" w:space="0" w:color="000000"/>
              <w:bottom w:val="double" w:sz="1" w:space="0" w:color="000000"/>
            </w:tcBorders>
          </w:tcPr>
          <w:p>
            <w:pPr>
              <w:pStyle w:val="TableParagraph"/>
              <w:rPr>
                <w:sz w:val="20"/>
              </w:rPr>
            </w:pPr>
          </w:p>
          <w:p>
            <w:pPr>
              <w:pStyle w:val="TableParagraph"/>
              <w:spacing w:before="11"/>
              <w:rPr>
                <w:sz w:val="15"/>
              </w:rPr>
            </w:pPr>
          </w:p>
          <w:p>
            <w:pPr>
              <w:pStyle w:val="TableParagraph"/>
              <w:ind w:left="66" w:right="119"/>
              <w:rPr>
                <w:sz w:val="18"/>
              </w:rPr>
            </w:pPr>
            <w:r>
              <w:rPr>
                <w:sz w:val="18"/>
              </w:rPr>
              <w:t>Renten- rechner</w:t>
            </w:r>
          </w:p>
        </w:tc>
      </w:tr>
      <w:tr>
        <w:trPr>
          <w:trHeight w:val="639" w:hRule="atLeast"/>
        </w:trPr>
        <w:tc>
          <w:tcPr>
            <w:tcW w:w="587" w:type="dxa"/>
            <w:vMerge w:val="restart"/>
            <w:tcBorders>
              <w:right w:val="double" w:sz="1" w:space="0" w:color="000000"/>
            </w:tcBorders>
            <w:shd w:val="clear" w:color="auto" w:fill="8DB3E1"/>
            <w:textDirection w:val="btLr"/>
          </w:tcPr>
          <w:p>
            <w:pPr>
              <w:pStyle w:val="TableParagraph"/>
              <w:spacing w:before="8"/>
              <w:rPr>
                <w:sz w:val="19"/>
              </w:rPr>
            </w:pPr>
          </w:p>
          <w:p>
            <w:pPr>
              <w:pStyle w:val="TableParagraph"/>
              <w:ind w:left="398"/>
              <w:rPr>
                <w:b/>
                <w:sz w:val="18"/>
              </w:rPr>
            </w:pPr>
            <w:r>
              <w:rPr>
                <w:b/>
                <w:sz w:val="18"/>
              </w:rPr>
              <w:t>Verschuldung</w:t>
            </w:r>
          </w:p>
        </w:tc>
        <w:tc>
          <w:tcPr>
            <w:tcW w:w="1685" w:type="dxa"/>
            <w:tcBorders>
              <w:top w:val="double" w:sz="1" w:space="0" w:color="000000"/>
              <w:left w:val="double" w:sz="1" w:space="0" w:color="000000"/>
              <w:right w:val="double" w:sz="2" w:space="0" w:color="000000"/>
            </w:tcBorders>
          </w:tcPr>
          <w:p>
            <w:pPr>
              <w:pStyle w:val="TableParagraph"/>
              <w:spacing w:line="322" w:lineRule="exact" w:before="22"/>
              <w:ind w:left="50" w:right="466"/>
              <w:rPr>
                <w:sz w:val="18"/>
              </w:rPr>
            </w:pPr>
            <w:r>
              <w:rPr>
                <w:sz w:val="18"/>
              </w:rPr>
              <w:t>Kreditrechner (ohne Zinsen)</w:t>
            </w:r>
          </w:p>
        </w:tc>
        <w:tc>
          <w:tcPr>
            <w:tcW w:w="852" w:type="dxa"/>
            <w:tcBorders>
              <w:top w:val="double" w:sz="1" w:space="0" w:color="000000"/>
              <w:left w:val="double" w:sz="2" w:space="0" w:color="000000"/>
            </w:tcBorders>
          </w:tcPr>
          <w:p>
            <w:pPr>
              <w:pStyle w:val="TableParagraph"/>
              <w:spacing w:before="7"/>
              <w:rPr>
                <w:sz w:val="23"/>
              </w:rPr>
            </w:pPr>
          </w:p>
          <w:p>
            <w:pPr>
              <w:pStyle w:val="TableParagraph"/>
              <w:ind w:left="58"/>
              <w:rPr>
                <w:sz w:val="18"/>
              </w:rPr>
            </w:pPr>
            <w:r>
              <w:rPr>
                <w:w w:val="99"/>
                <w:sz w:val="18"/>
              </w:rPr>
              <w:t>1</w:t>
            </w:r>
          </w:p>
        </w:tc>
        <w:tc>
          <w:tcPr>
            <w:tcW w:w="847" w:type="dxa"/>
            <w:tcBorders>
              <w:top w:val="double" w:sz="1" w:space="0" w:color="000000"/>
            </w:tcBorders>
          </w:tcPr>
          <w:p>
            <w:pPr>
              <w:pStyle w:val="TableParagraph"/>
              <w:spacing w:before="7"/>
              <w:rPr>
                <w:sz w:val="23"/>
              </w:rPr>
            </w:pPr>
          </w:p>
          <w:p>
            <w:pPr>
              <w:pStyle w:val="TableParagraph"/>
              <w:ind w:left="63"/>
              <w:rPr>
                <w:sz w:val="18"/>
              </w:rPr>
            </w:pPr>
            <w:r>
              <w:rPr>
                <w:sz w:val="18"/>
              </w:rPr>
              <w:t>,296</w:t>
            </w:r>
            <w:r>
              <w:rPr>
                <w:sz w:val="18"/>
                <w:vertAlign w:val="superscript"/>
              </w:rPr>
              <w:t>**</w:t>
            </w:r>
          </w:p>
        </w:tc>
        <w:tc>
          <w:tcPr>
            <w:tcW w:w="855" w:type="dxa"/>
            <w:tcBorders>
              <w:top w:val="double" w:sz="1" w:space="0" w:color="000000"/>
            </w:tcBorders>
          </w:tcPr>
          <w:p>
            <w:pPr>
              <w:pStyle w:val="TableParagraph"/>
              <w:spacing w:before="7"/>
              <w:rPr>
                <w:sz w:val="23"/>
              </w:rPr>
            </w:pPr>
          </w:p>
          <w:p>
            <w:pPr>
              <w:pStyle w:val="TableParagraph"/>
              <w:ind w:left="66"/>
              <w:rPr>
                <w:sz w:val="18"/>
              </w:rPr>
            </w:pPr>
            <w:r>
              <w:rPr>
                <w:sz w:val="18"/>
              </w:rPr>
              <w:t>,117</w:t>
            </w:r>
            <w:r>
              <w:rPr>
                <w:sz w:val="18"/>
                <w:vertAlign w:val="superscript"/>
              </w:rPr>
              <w:t>*</w:t>
            </w:r>
          </w:p>
        </w:tc>
        <w:tc>
          <w:tcPr>
            <w:tcW w:w="850" w:type="dxa"/>
            <w:tcBorders>
              <w:top w:val="double" w:sz="1" w:space="0" w:color="000000"/>
            </w:tcBorders>
          </w:tcPr>
          <w:p>
            <w:pPr>
              <w:pStyle w:val="TableParagraph"/>
              <w:spacing w:before="7"/>
              <w:rPr>
                <w:sz w:val="23"/>
              </w:rPr>
            </w:pPr>
          </w:p>
          <w:p>
            <w:pPr>
              <w:pStyle w:val="TableParagraph"/>
              <w:ind w:left="65"/>
              <w:rPr>
                <w:sz w:val="18"/>
              </w:rPr>
            </w:pPr>
            <w:r>
              <w:rPr>
                <w:sz w:val="18"/>
              </w:rPr>
              <w:t>,225</w:t>
            </w:r>
            <w:r>
              <w:rPr>
                <w:sz w:val="18"/>
                <w:vertAlign w:val="superscript"/>
              </w:rPr>
              <w:t>**</w:t>
            </w:r>
          </w:p>
        </w:tc>
        <w:tc>
          <w:tcPr>
            <w:tcW w:w="852" w:type="dxa"/>
            <w:tcBorders>
              <w:top w:val="double" w:sz="1" w:space="0" w:color="000000"/>
            </w:tcBorders>
          </w:tcPr>
          <w:p>
            <w:pPr>
              <w:pStyle w:val="TableParagraph"/>
              <w:spacing w:before="7"/>
              <w:rPr>
                <w:sz w:val="23"/>
              </w:rPr>
            </w:pPr>
          </w:p>
          <w:p>
            <w:pPr>
              <w:pStyle w:val="TableParagraph"/>
              <w:ind w:left="63"/>
              <w:rPr>
                <w:sz w:val="18"/>
              </w:rPr>
            </w:pPr>
            <w:r>
              <w:rPr>
                <w:sz w:val="18"/>
              </w:rPr>
              <w:t>,110</w:t>
            </w:r>
            <w:r>
              <w:rPr>
                <w:sz w:val="18"/>
                <w:vertAlign w:val="superscript"/>
              </w:rPr>
              <w:t>*</w:t>
            </w:r>
          </w:p>
        </w:tc>
        <w:tc>
          <w:tcPr>
            <w:tcW w:w="850" w:type="dxa"/>
            <w:tcBorders>
              <w:top w:val="double" w:sz="1" w:space="0" w:color="000000"/>
            </w:tcBorders>
          </w:tcPr>
          <w:p>
            <w:pPr>
              <w:pStyle w:val="TableParagraph"/>
              <w:spacing w:before="7"/>
              <w:rPr>
                <w:sz w:val="23"/>
              </w:rPr>
            </w:pPr>
          </w:p>
          <w:p>
            <w:pPr>
              <w:pStyle w:val="TableParagraph"/>
              <w:ind w:left="65"/>
              <w:rPr>
                <w:sz w:val="18"/>
              </w:rPr>
            </w:pPr>
            <w:r>
              <w:rPr>
                <w:sz w:val="18"/>
              </w:rPr>
              <w:t>,141</w:t>
            </w:r>
            <w:r>
              <w:rPr>
                <w:sz w:val="18"/>
                <w:vertAlign w:val="superscript"/>
              </w:rPr>
              <w:t>**</w:t>
            </w:r>
          </w:p>
        </w:tc>
        <w:tc>
          <w:tcPr>
            <w:tcW w:w="818" w:type="dxa"/>
            <w:tcBorders>
              <w:top w:val="double" w:sz="1" w:space="0" w:color="000000"/>
            </w:tcBorders>
          </w:tcPr>
          <w:p>
            <w:pPr>
              <w:pStyle w:val="TableParagraph"/>
              <w:spacing w:before="7"/>
              <w:rPr>
                <w:sz w:val="23"/>
              </w:rPr>
            </w:pPr>
          </w:p>
          <w:p>
            <w:pPr>
              <w:pStyle w:val="TableParagraph"/>
              <w:ind w:left="65"/>
              <w:rPr>
                <w:sz w:val="18"/>
              </w:rPr>
            </w:pPr>
            <w:r>
              <w:rPr>
                <w:sz w:val="18"/>
              </w:rPr>
              <w:t>,091</w:t>
            </w:r>
          </w:p>
        </w:tc>
        <w:tc>
          <w:tcPr>
            <w:tcW w:w="856" w:type="dxa"/>
            <w:tcBorders>
              <w:top w:val="double" w:sz="1" w:space="0" w:color="000000"/>
            </w:tcBorders>
          </w:tcPr>
          <w:p>
            <w:pPr>
              <w:pStyle w:val="TableParagraph"/>
              <w:spacing w:before="7"/>
              <w:rPr>
                <w:sz w:val="23"/>
              </w:rPr>
            </w:pPr>
          </w:p>
          <w:p>
            <w:pPr>
              <w:pStyle w:val="TableParagraph"/>
              <w:ind w:left="66"/>
              <w:rPr>
                <w:sz w:val="18"/>
              </w:rPr>
            </w:pPr>
            <w:r>
              <w:rPr>
                <w:sz w:val="18"/>
              </w:rPr>
              <w:t>,123</w:t>
            </w:r>
            <w:r>
              <w:rPr>
                <w:sz w:val="18"/>
                <w:vertAlign w:val="superscript"/>
              </w:rPr>
              <w:t>*</w:t>
            </w:r>
          </w:p>
        </w:tc>
      </w:tr>
      <w:tr>
        <w:trPr>
          <w:trHeight w:val="672" w:hRule="atLeast"/>
        </w:trPr>
        <w:tc>
          <w:tcPr>
            <w:tcW w:w="587" w:type="dxa"/>
            <w:vMerge/>
            <w:tcBorders>
              <w:top w:val="nil"/>
              <w:right w:val="double" w:sz="1" w:space="0" w:color="000000"/>
            </w:tcBorders>
            <w:shd w:val="clear" w:color="auto" w:fill="8DB3E1"/>
            <w:textDirection w:val="btLr"/>
          </w:tcPr>
          <w:p>
            <w:pPr>
              <w:rPr>
                <w:sz w:val="2"/>
                <w:szCs w:val="2"/>
              </w:rPr>
            </w:pPr>
          </w:p>
        </w:tc>
        <w:tc>
          <w:tcPr>
            <w:tcW w:w="1685" w:type="dxa"/>
            <w:tcBorders>
              <w:left w:val="double" w:sz="1" w:space="0" w:color="000000"/>
              <w:right w:val="double" w:sz="2" w:space="0" w:color="000000"/>
            </w:tcBorders>
          </w:tcPr>
          <w:p>
            <w:pPr>
              <w:pStyle w:val="TableParagraph"/>
              <w:spacing w:line="322" w:lineRule="exact" w:before="25"/>
              <w:ind w:left="50" w:right="386"/>
              <w:rPr>
                <w:sz w:val="18"/>
              </w:rPr>
            </w:pPr>
            <w:r>
              <w:rPr>
                <w:sz w:val="18"/>
              </w:rPr>
              <w:t>Finanzierungs- rechner</w:t>
            </w:r>
          </w:p>
        </w:tc>
        <w:tc>
          <w:tcPr>
            <w:tcW w:w="852" w:type="dxa"/>
            <w:tcBorders>
              <w:left w:val="double" w:sz="2" w:space="0" w:color="000000"/>
            </w:tcBorders>
          </w:tcPr>
          <w:p>
            <w:pPr>
              <w:pStyle w:val="TableParagraph"/>
              <w:spacing w:before="10"/>
              <w:rPr>
                <w:sz w:val="23"/>
              </w:rPr>
            </w:pPr>
          </w:p>
          <w:p>
            <w:pPr>
              <w:pStyle w:val="TableParagraph"/>
              <w:spacing w:before="1"/>
              <w:ind w:left="58"/>
              <w:rPr>
                <w:sz w:val="18"/>
              </w:rPr>
            </w:pPr>
            <w:r>
              <w:rPr>
                <w:sz w:val="18"/>
              </w:rPr>
              <w:t>,296</w:t>
            </w:r>
            <w:r>
              <w:rPr>
                <w:sz w:val="18"/>
                <w:vertAlign w:val="superscript"/>
              </w:rPr>
              <w:t>**</w:t>
            </w:r>
          </w:p>
        </w:tc>
        <w:tc>
          <w:tcPr>
            <w:tcW w:w="847" w:type="dxa"/>
          </w:tcPr>
          <w:p>
            <w:pPr>
              <w:pStyle w:val="TableParagraph"/>
              <w:spacing w:before="10"/>
              <w:rPr>
                <w:sz w:val="23"/>
              </w:rPr>
            </w:pPr>
          </w:p>
          <w:p>
            <w:pPr>
              <w:pStyle w:val="TableParagraph"/>
              <w:spacing w:before="1"/>
              <w:ind w:left="63"/>
              <w:rPr>
                <w:sz w:val="18"/>
              </w:rPr>
            </w:pPr>
            <w:r>
              <w:rPr>
                <w:w w:val="99"/>
                <w:sz w:val="18"/>
              </w:rPr>
              <w:t>1</w:t>
            </w:r>
          </w:p>
        </w:tc>
        <w:tc>
          <w:tcPr>
            <w:tcW w:w="855" w:type="dxa"/>
          </w:tcPr>
          <w:p>
            <w:pPr>
              <w:pStyle w:val="TableParagraph"/>
              <w:spacing w:before="10"/>
              <w:rPr>
                <w:sz w:val="23"/>
              </w:rPr>
            </w:pPr>
          </w:p>
          <w:p>
            <w:pPr>
              <w:pStyle w:val="TableParagraph"/>
              <w:spacing w:before="1"/>
              <w:ind w:left="66"/>
              <w:rPr>
                <w:sz w:val="18"/>
              </w:rPr>
            </w:pPr>
            <w:r>
              <w:rPr>
                <w:sz w:val="18"/>
              </w:rPr>
              <w:t>,202</w:t>
            </w:r>
            <w:r>
              <w:rPr>
                <w:sz w:val="18"/>
                <w:vertAlign w:val="superscript"/>
              </w:rPr>
              <w:t>**</w:t>
            </w:r>
          </w:p>
        </w:tc>
        <w:tc>
          <w:tcPr>
            <w:tcW w:w="850" w:type="dxa"/>
          </w:tcPr>
          <w:p>
            <w:pPr>
              <w:pStyle w:val="TableParagraph"/>
              <w:spacing w:before="10"/>
              <w:rPr>
                <w:sz w:val="23"/>
              </w:rPr>
            </w:pPr>
          </w:p>
          <w:p>
            <w:pPr>
              <w:pStyle w:val="TableParagraph"/>
              <w:spacing w:before="1"/>
              <w:ind w:left="65"/>
              <w:rPr>
                <w:sz w:val="18"/>
              </w:rPr>
            </w:pPr>
            <w:r>
              <w:rPr>
                <w:sz w:val="18"/>
              </w:rPr>
              <w:t>,359</w:t>
            </w:r>
            <w:r>
              <w:rPr>
                <w:sz w:val="18"/>
                <w:vertAlign w:val="superscript"/>
              </w:rPr>
              <w:t>**</w:t>
            </w:r>
          </w:p>
        </w:tc>
        <w:tc>
          <w:tcPr>
            <w:tcW w:w="852" w:type="dxa"/>
          </w:tcPr>
          <w:p>
            <w:pPr>
              <w:pStyle w:val="TableParagraph"/>
              <w:spacing w:before="10"/>
              <w:rPr>
                <w:sz w:val="23"/>
              </w:rPr>
            </w:pPr>
          </w:p>
          <w:p>
            <w:pPr>
              <w:pStyle w:val="TableParagraph"/>
              <w:spacing w:before="1"/>
              <w:ind w:left="63"/>
              <w:rPr>
                <w:sz w:val="18"/>
              </w:rPr>
            </w:pPr>
            <w:r>
              <w:rPr>
                <w:sz w:val="18"/>
              </w:rPr>
              <w:t>,244</w:t>
            </w:r>
            <w:r>
              <w:rPr>
                <w:sz w:val="18"/>
                <w:vertAlign w:val="superscript"/>
              </w:rPr>
              <w:t>**</w:t>
            </w:r>
          </w:p>
        </w:tc>
        <w:tc>
          <w:tcPr>
            <w:tcW w:w="850" w:type="dxa"/>
          </w:tcPr>
          <w:p>
            <w:pPr>
              <w:pStyle w:val="TableParagraph"/>
              <w:spacing w:before="10"/>
              <w:rPr>
                <w:sz w:val="23"/>
              </w:rPr>
            </w:pPr>
          </w:p>
          <w:p>
            <w:pPr>
              <w:pStyle w:val="TableParagraph"/>
              <w:spacing w:before="1"/>
              <w:ind w:left="65"/>
              <w:rPr>
                <w:sz w:val="18"/>
              </w:rPr>
            </w:pPr>
            <w:r>
              <w:rPr>
                <w:sz w:val="18"/>
              </w:rPr>
              <w:t>,323</w:t>
            </w:r>
            <w:r>
              <w:rPr>
                <w:sz w:val="18"/>
                <w:vertAlign w:val="superscript"/>
              </w:rPr>
              <w:t>**</w:t>
            </w:r>
          </w:p>
        </w:tc>
        <w:tc>
          <w:tcPr>
            <w:tcW w:w="818" w:type="dxa"/>
          </w:tcPr>
          <w:p>
            <w:pPr>
              <w:pStyle w:val="TableParagraph"/>
              <w:spacing w:before="10"/>
              <w:rPr>
                <w:sz w:val="23"/>
              </w:rPr>
            </w:pPr>
          </w:p>
          <w:p>
            <w:pPr>
              <w:pStyle w:val="TableParagraph"/>
              <w:spacing w:before="1"/>
              <w:ind w:left="65"/>
              <w:rPr>
                <w:sz w:val="18"/>
              </w:rPr>
            </w:pPr>
            <w:r>
              <w:rPr>
                <w:sz w:val="18"/>
              </w:rPr>
              <w:t>,135</w:t>
            </w:r>
            <w:r>
              <w:rPr>
                <w:sz w:val="18"/>
                <w:vertAlign w:val="superscript"/>
              </w:rPr>
              <w:t>**</w:t>
            </w:r>
          </w:p>
        </w:tc>
        <w:tc>
          <w:tcPr>
            <w:tcW w:w="856" w:type="dxa"/>
          </w:tcPr>
          <w:p>
            <w:pPr>
              <w:pStyle w:val="TableParagraph"/>
              <w:spacing w:before="10"/>
              <w:rPr>
                <w:sz w:val="23"/>
              </w:rPr>
            </w:pPr>
          </w:p>
          <w:p>
            <w:pPr>
              <w:pStyle w:val="TableParagraph"/>
              <w:spacing w:before="1"/>
              <w:ind w:left="66"/>
              <w:rPr>
                <w:sz w:val="18"/>
              </w:rPr>
            </w:pPr>
            <w:r>
              <w:rPr>
                <w:sz w:val="18"/>
              </w:rPr>
              <w:t>,232</w:t>
            </w:r>
            <w:r>
              <w:rPr>
                <w:sz w:val="18"/>
                <w:vertAlign w:val="superscript"/>
              </w:rPr>
              <w:t>**</w:t>
            </w:r>
          </w:p>
        </w:tc>
      </w:tr>
      <w:tr>
        <w:trPr>
          <w:trHeight w:val="640" w:hRule="atLeast"/>
        </w:trPr>
        <w:tc>
          <w:tcPr>
            <w:tcW w:w="587" w:type="dxa"/>
            <w:vMerge/>
            <w:tcBorders>
              <w:top w:val="nil"/>
              <w:right w:val="double" w:sz="1" w:space="0" w:color="000000"/>
            </w:tcBorders>
            <w:shd w:val="clear" w:color="auto" w:fill="8DB3E1"/>
            <w:textDirection w:val="btLr"/>
          </w:tcPr>
          <w:p>
            <w:pPr>
              <w:rPr>
                <w:sz w:val="2"/>
                <w:szCs w:val="2"/>
              </w:rPr>
            </w:pPr>
          </w:p>
        </w:tc>
        <w:tc>
          <w:tcPr>
            <w:tcW w:w="1685" w:type="dxa"/>
            <w:tcBorders>
              <w:left w:val="double" w:sz="1" w:space="0" w:color="000000"/>
              <w:right w:val="double" w:sz="2" w:space="0" w:color="000000"/>
            </w:tcBorders>
          </w:tcPr>
          <w:p>
            <w:pPr>
              <w:pStyle w:val="TableParagraph"/>
              <w:spacing w:line="322" w:lineRule="exact" w:before="23"/>
              <w:ind w:left="50" w:right="496"/>
              <w:rPr>
                <w:sz w:val="18"/>
              </w:rPr>
            </w:pPr>
            <w:r>
              <w:rPr>
                <w:sz w:val="18"/>
              </w:rPr>
              <w:t>Kreditrechner (mit Zinsen)</w:t>
            </w:r>
          </w:p>
        </w:tc>
        <w:tc>
          <w:tcPr>
            <w:tcW w:w="852" w:type="dxa"/>
            <w:tcBorders>
              <w:left w:val="double" w:sz="2" w:space="0" w:color="000000"/>
            </w:tcBorders>
          </w:tcPr>
          <w:p>
            <w:pPr>
              <w:pStyle w:val="TableParagraph"/>
              <w:spacing w:before="8"/>
              <w:rPr>
                <w:sz w:val="23"/>
              </w:rPr>
            </w:pPr>
          </w:p>
          <w:p>
            <w:pPr>
              <w:pStyle w:val="TableParagraph"/>
              <w:ind w:left="58"/>
              <w:rPr>
                <w:sz w:val="18"/>
              </w:rPr>
            </w:pPr>
            <w:r>
              <w:rPr>
                <w:sz w:val="18"/>
              </w:rPr>
              <w:t>,117</w:t>
            </w:r>
            <w:r>
              <w:rPr>
                <w:sz w:val="18"/>
                <w:vertAlign w:val="superscript"/>
              </w:rPr>
              <w:t>*</w:t>
            </w:r>
          </w:p>
        </w:tc>
        <w:tc>
          <w:tcPr>
            <w:tcW w:w="847" w:type="dxa"/>
          </w:tcPr>
          <w:p>
            <w:pPr>
              <w:pStyle w:val="TableParagraph"/>
              <w:spacing w:before="8"/>
              <w:rPr>
                <w:sz w:val="23"/>
              </w:rPr>
            </w:pPr>
          </w:p>
          <w:p>
            <w:pPr>
              <w:pStyle w:val="TableParagraph"/>
              <w:ind w:left="145"/>
              <w:rPr>
                <w:sz w:val="18"/>
              </w:rPr>
            </w:pPr>
            <w:r>
              <w:rPr>
                <w:sz w:val="18"/>
              </w:rPr>
              <w:t>,202</w:t>
            </w:r>
            <w:r>
              <w:rPr>
                <w:sz w:val="18"/>
                <w:vertAlign w:val="superscript"/>
              </w:rPr>
              <w:t>**</w:t>
            </w:r>
          </w:p>
        </w:tc>
        <w:tc>
          <w:tcPr>
            <w:tcW w:w="855" w:type="dxa"/>
          </w:tcPr>
          <w:p>
            <w:pPr>
              <w:pStyle w:val="TableParagraph"/>
              <w:spacing w:before="8"/>
              <w:rPr>
                <w:sz w:val="23"/>
              </w:rPr>
            </w:pPr>
          </w:p>
          <w:p>
            <w:pPr>
              <w:pStyle w:val="TableParagraph"/>
              <w:ind w:left="66"/>
              <w:rPr>
                <w:sz w:val="18"/>
              </w:rPr>
            </w:pPr>
            <w:r>
              <w:rPr>
                <w:w w:val="99"/>
                <w:sz w:val="18"/>
              </w:rPr>
              <w:t>1</w:t>
            </w:r>
          </w:p>
        </w:tc>
        <w:tc>
          <w:tcPr>
            <w:tcW w:w="850" w:type="dxa"/>
          </w:tcPr>
          <w:p>
            <w:pPr>
              <w:pStyle w:val="TableParagraph"/>
              <w:spacing w:before="8"/>
              <w:rPr>
                <w:sz w:val="23"/>
              </w:rPr>
            </w:pPr>
          </w:p>
          <w:p>
            <w:pPr>
              <w:pStyle w:val="TableParagraph"/>
              <w:ind w:left="65"/>
              <w:rPr>
                <w:sz w:val="18"/>
              </w:rPr>
            </w:pPr>
            <w:r>
              <w:rPr>
                <w:sz w:val="18"/>
              </w:rPr>
              <w:t>,244</w:t>
            </w:r>
            <w:r>
              <w:rPr>
                <w:sz w:val="18"/>
                <w:vertAlign w:val="superscript"/>
              </w:rPr>
              <w:t>**</w:t>
            </w:r>
          </w:p>
        </w:tc>
        <w:tc>
          <w:tcPr>
            <w:tcW w:w="852" w:type="dxa"/>
          </w:tcPr>
          <w:p>
            <w:pPr>
              <w:pStyle w:val="TableParagraph"/>
              <w:spacing w:before="8"/>
              <w:rPr>
                <w:sz w:val="23"/>
              </w:rPr>
            </w:pPr>
          </w:p>
          <w:p>
            <w:pPr>
              <w:pStyle w:val="TableParagraph"/>
              <w:ind w:left="63"/>
              <w:rPr>
                <w:sz w:val="18"/>
              </w:rPr>
            </w:pPr>
            <w:r>
              <w:rPr>
                <w:sz w:val="18"/>
              </w:rPr>
              <w:t>,160</w:t>
            </w:r>
            <w:r>
              <w:rPr>
                <w:sz w:val="18"/>
                <w:vertAlign w:val="superscript"/>
              </w:rPr>
              <w:t>**</w:t>
            </w:r>
          </w:p>
        </w:tc>
        <w:tc>
          <w:tcPr>
            <w:tcW w:w="850" w:type="dxa"/>
          </w:tcPr>
          <w:p>
            <w:pPr>
              <w:pStyle w:val="TableParagraph"/>
              <w:spacing w:before="8"/>
              <w:rPr>
                <w:sz w:val="23"/>
              </w:rPr>
            </w:pPr>
          </w:p>
          <w:p>
            <w:pPr>
              <w:pStyle w:val="TableParagraph"/>
              <w:ind w:left="65"/>
              <w:rPr>
                <w:sz w:val="18"/>
              </w:rPr>
            </w:pPr>
            <w:r>
              <w:rPr>
                <w:sz w:val="18"/>
              </w:rPr>
              <w:t>,202</w:t>
            </w:r>
            <w:r>
              <w:rPr>
                <w:sz w:val="18"/>
                <w:vertAlign w:val="superscript"/>
              </w:rPr>
              <w:t>**</w:t>
            </w:r>
          </w:p>
        </w:tc>
        <w:tc>
          <w:tcPr>
            <w:tcW w:w="818" w:type="dxa"/>
          </w:tcPr>
          <w:p>
            <w:pPr>
              <w:pStyle w:val="TableParagraph"/>
              <w:spacing w:before="8"/>
              <w:rPr>
                <w:sz w:val="23"/>
              </w:rPr>
            </w:pPr>
          </w:p>
          <w:p>
            <w:pPr>
              <w:pStyle w:val="TableParagraph"/>
              <w:ind w:left="65"/>
              <w:rPr>
                <w:sz w:val="18"/>
              </w:rPr>
            </w:pPr>
            <w:r>
              <w:rPr>
                <w:sz w:val="18"/>
              </w:rPr>
              <w:t>,119</w:t>
            </w:r>
            <w:r>
              <w:rPr>
                <w:sz w:val="18"/>
                <w:vertAlign w:val="superscript"/>
              </w:rPr>
              <w:t>*</w:t>
            </w:r>
          </w:p>
        </w:tc>
        <w:tc>
          <w:tcPr>
            <w:tcW w:w="856" w:type="dxa"/>
          </w:tcPr>
          <w:p>
            <w:pPr>
              <w:pStyle w:val="TableParagraph"/>
              <w:spacing w:before="8"/>
              <w:rPr>
                <w:sz w:val="23"/>
              </w:rPr>
            </w:pPr>
          </w:p>
          <w:p>
            <w:pPr>
              <w:pStyle w:val="TableParagraph"/>
              <w:ind w:left="66"/>
              <w:rPr>
                <w:sz w:val="18"/>
              </w:rPr>
            </w:pPr>
            <w:r>
              <w:rPr>
                <w:sz w:val="18"/>
              </w:rPr>
              <w:t>,199</w:t>
            </w:r>
            <w:r>
              <w:rPr>
                <w:sz w:val="18"/>
                <w:vertAlign w:val="superscript"/>
              </w:rPr>
              <w:t>**</w:t>
            </w:r>
          </w:p>
        </w:tc>
      </w:tr>
      <w:tr>
        <w:trPr>
          <w:trHeight w:val="613" w:hRule="atLeast"/>
        </w:trPr>
        <w:tc>
          <w:tcPr>
            <w:tcW w:w="587" w:type="dxa"/>
            <w:vMerge w:val="restart"/>
            <w:tcBorders>
              <w:right w:val="double" w:sz="1" w:space="0" w:color="000000"/>
            </w:tcBorders>
            <w:shd w:val="clear" w:color="auto" w:fill="8DB3E1"/>
            <w:textDirection w:val="btLr"/>
          </w:tcPr>
          <w:p>
            <w:pPr>
              <w:pStyle w:val="TableParagraph"/>
              <w:spacing w:before="8"/>
              <w:rPr>
                <w:sz w:val="19"/>
              </w:rPr>
            </w:pPr>
          </w:p>
          <w:p>
            <w:pPr>
              <w:pStyle w:val="TableParagraph"/>
              <w:ind w:left="689"/>
              <w:rPr>
                <w:b/>
                <w:sz w:val="18"/>
              </w:rPr>
            </w:pPr>
            <w:r>
              <w:rPr>
                <w:b/>
                <w:sz w:val="18"/>
              </w:rPr>
              <w:t>Vermögensbildung</w:t>
            </w:r>
          </w:p>
        </w:tc>
        <w:tc>
          <w:tcPr>
            <w:tcW w:w="1685" w:type="dxa"/>
            <w:tcBorders>
              <w:left w:val="double" w:sz="1" w:space="0" w:color="000000"/>
              <w:right w:val="double" w:sz="2" w:space="0" w:color="000000"/>
            </w:tcBorders>
          </w:tcPr>
          <w:p>
            <w:pPr>
              <w:pStyle w:val="TableParagraph"/>
              <w:spacing w:before="85"/>
              <w:ind w:left="50"/>
              <w:rPr>
                <w:sz w:val="18"/>
              </w:rPr>
            </w:pPr>
            <w:r>
              <w:rPr>
                <w:sz w:val="18"/>
              </w:rPr>
              <w:t>Sparratenrechner</w:t>
            </w:r>
          </w:p>
          <w:p>
            <w:pPr>
              <w:pStyle w:val="TableParagraph"/>
              <w:spacing w:line="189" w:lineRule="exact" w:before="112"/>
              <w:ind w:left="50"/>
              <w:rPr>
                <w:sz w:val="18"/>
              </w:rPr>
            </w:pPr>
            <w:r>
              <w:rPr>
                <w:sz w:val="18"/>
              </w:rPr>
              <w:t>(Girokonto)</w:t>
            </w:r>
          </w:p>
        </w:tc>
        <w:tc>
          <w:tcPr>
            <w:tcW w:w="852" w:type="dxa"/>
            <w:tcBorders>
              <w:left w:val="double" w:sz="2" w:space="0" w:color="000000"/>
            </w:tcBorders>
          </w:tcPr>
          <w:p>
            <w:pPr>
              <w:pStyle w:val="TableParagraph"/>
              <w:spacing w:before="4"/>
              <w:rPr>
                <w:sz w:val="21"/>
              </w:rPr>
            </w:pPr>
          </w:p>
          <w:p>
            <w:pPr>
              <w:pStyle w:val="TableParagraph"/>
              <w:ind w:left="58"/>
              <w:rPr>
                <w:sz w:val="18"/>
              </w:rPr>
            </w:pPr>
            <w:r>
              <w:rPr>
                <w:sz w:val="18"/>
              </w:rPr>
              <w:t>,225</w:t>
            </w:r>
            <w:r>
              <w:rPr>
                <w:sz w:val="18"/>
                <w:vertAlign w:val="superscript"/>
              </w:rPr>
              <w:t>**</w:t>
            </w:r>
          </w:p>
        </w:tc>
        <w:tc>
          <w:tcPr>
            <w:tcW w:w="847" w:type="dxa"/>
          </w:tcPr>
          <w:p>
            <w:pPr>
              <w:pStyle w:val="TableParagraph"/>
              <w:spacing w:before="4"/>
              <w:rPr>
                <w:sz w:val="21"/>
              </w:rPr>
            </w:pPr>
          </w:p>
          <w:p>
            <w:pPr>
              <w:pStyle w:val="TableParagraph"/>
              <w:ind w:left="63"/>
              <w:rPr>
                <w:sz w:val="18"/>
              </w:rPr>
            </w:pPr>
            <w:r>
              <w:rPr>
                <w:sz w:val="18"/>
              </w:rPr>
              <w:t>,359</w:t>
            </w:r>
            <w:r>
              <w:rPr>
                <w:sz w:val="18"/>
                <w:vertAlign w:val="superscript"/>
              </w:rPr>
              <w:t>**</w:t>
            </w:r>
          </w:p>
        </w:tc>
        <w:tc>
          <w:tcPr>
            <w:tcW w:w="855" w:type="dxa"/>
          </w:tcPr>
          <w:p>
            <w:pPr>
              <w:pStyle w:val="TableParagraph"/>
              <w:spacing w:before="4"/>
              <w:rPr>
                <w:sz w:val="21"/>
              </w:rPr>
            </w:pPr>
          </w:p>
          <w:p>
            <w:pPr>
              <w:pStyle w:val="TableParagraph"/>
              <w:ind w:left="66"/>
              <w:rPr>
                <w:sz w:val="18"/>
              </w:rPr>
            </w:pPr>
            <w:r>
              <w:rPr>
                <w:sz w:val="18"/>
              </w:rPr>
              <w:t>,244</w:t>
            </w:r>
            <w:r>
              <w:rPr>
                <w:sz w:val="18"/>
                <w:vertAlign w:val="superscript"/>
              </w:rPr>
              <w:t>**</w:t>
            </w:r>
          </w:p>
        </w:tc>
        <w:tc>
          <w:tcPr>
            <w:tcW w:w="850" w:type="dxa"/>
          </w:tcPr>
          <w:p>
            <w:pPr>
              <w:pStyle w:val="TableParagraph"/>
              <w:spacing w:before="4"/>
              <w:rPr>
                <w:sz w:val="21"/>
              </w:rPr>
            </w:pPr>
          </w:p>
          <w:p>
            <w:pPr>
              <w:pStyle w:val="TableParagraph"/>
              <w:ind w:left="65"/>
              <w:rPr>
                <w:sz w:val="18"/>
              </w:rPr>
            </w:pPr>
            <w:r>
              <w:rPr>
                <w:w w:val="99"/>
                <w:sz w:val="18"/>
              </w:rPr>
              <w:t>1</w:t>
            </w:r>
          </w:p>
        </w:tc>
        <w:tc>
          <w:tcPr>
            <w:tcW w:w="852" w:type="dxa"/>
          </w:tcPr>
          <w:p>
            <w:pPr>
              <w:pStyle w:val="TableParagraph"/>
              <w:spacing w:before="4"/>
              <w:rPr>
                <w:sz w:val="21"/>
              </w:rPr>
            </w:pPr>
          </w:p>
          <w:p>
            <w:pPr>
              <w:pStyle w:val="TableParagraph"/>
              <w:ind w:left="63"/>
              <w:rPr>
                <w:sz w:val="18"/>
              </w:rPr>
            </w:pPr>
            <w:r>
              <w:rPr>
                <w:sz w:val="18"/>
              </w:rPr>
              <w:t>,312</w:t>
            </w:r>
            <w:r>
              <w:rPr>
                <w:sz w:val="18"/>
                <w:vertAlign w:val="superscript"/>
              </w:rPr>
              <w:t>**</w:t>
            </w:r>
          </w:p>
        </w:tc>
        <w:tc>
          <w:tcPr>
            <w:tcW w:w="850" w:type="dxa"/>
          </w:tcPr>
          <w:p>
            <w:pPr>
              <w:pStyle w:val="TableParagraph"/>
              <w:spacing w:before="4"/>
              <w:rPr>
                <w:sz w:val="21"/>
              </w:rPr>
            </w:pPr>
          </w:p>
          <w:p>
            <w:pPr>
              <w:pStyle w:val="TableParagraph"/>
              <w:ind w:left="65"/>
              <w:rPr>
                <w:sz w:val="18"/>
              </w:rPr>
            </w:pPr>
            <w:r>
              <w:rPr>
                <w:sz w:val="18"/>
              </w:rPr>
              <w:t>,317</w:t>
            </w:r>
            <w:r>
              <w:rPr>
                <w:sz w:val="18"/>
                <w:vertAlign w:val="superscript"/>
              </w:rPr>
              <w:t>**</w:t>
            </w:r>
          </w:p>
        </w:tc>
        <w:tc>
          <w:tcPr>
            <w:tcW w:w="818" w:type="dxa"/>
          </w:tcPr>
          <w:p>
            <w:pPr>
              <w:pStyle w:val="TableParagraph"/>
              <w:spacing w:before="4"/>
              <w:rPr>
                <w:sz w:val="21"/>
              </w:rPr>
            </w:pPr>
          </w:p>
          <w:p>
            <w:pPr>
              <w:pStyle w:val="TableParagraph"/>
              <w:ind w:left="65"/>
              <w:rPr>
                <w:sz w:val="18"/>
              </w:rPr>
            </w:pPr>
            <w:r>
              <w:rPr>
                <w:sz w:val="18"/>
              </w:rPr>
              <w:t>,236</w:t>
            </w:r>
            <w:r>
              <w:rPr>
                <w:sz w:val="18"/>
                <w:vertAlign w:val="superscript"/>
              </w:rPr>
              <w:t>**</w:t>
            </w:r>
          </w:p>
        </w:tc>
        <w:tc>
          <w:tcPr>
            <w:tcW w:w="856" w:type="dxa"/>
          </w:tcPr>
          <w:p>
            <w:pPr>
              <w:pStyle w:val="TableParagraph"/>
              <w:spacing w:before="4"/>
              <w:rPr>
                <w:sz w:val="21"/>
              </w:rPr>
            </w:pPr>
          </w:p>
          <w:p>
            <w:pPr>
              <w:pStyle w:val="TableParagraph"/>
              <w:ind w:left="66"/>
              <w:rPr>
                <w:sz w:val="18"/>
              </w:rPr>
            </w:pPr>
            <w:r>
              <w:rPr>
                <w:sz w:val="18"/>
              </w:rPr>
              <w:t>,264</w:t>
            </w:r>
            <w:r>
              <w:rPr>
                <w:sz w:val="18"/>
                <w:vertAlign w:val="superscript"/>
              </w:rPr>
              <w:t>**</w:t>
            </w:r>
          </w:p>
        </w:tc>
      </w:tr>
      <w:tr>
        <w:trPr>
          <w:trHeight w:val="810" w:hRule="atLeast"/>
        </w:trPr>
        <w:tc>
          <w:tcPr>
            <w:tcW w:w="587" w:type="dxa"/>
            <w:vMerge/>
            <w:tcBorders>
              <w:top w:val="nil"/>
              <w:right w:val="double" w:sz="1" w:space="0" w:color="000000"/>
            </w:tcBorders>
            <w:shd w:val="clear" w:color="auto" w:fill="8DB3E1"/>
            <w:textDirection w:val="btLr"/>
          </w:tcPr>
          <w:p>
            <w:pPr>
              <w:rPr>
                <w:sz w:val="2"/>
                <w:szCs w:val="2"/>
              </w:rPr>
            </w:pPr>
          </w:p>
        </w:tc>
        <w:tc>
          <w:tcPr>
            <w:tcW w:w="1685" w:type="dxa"/>
            <w:tcBorders>
              <w:left w:val="double" w:sz="1" w:space="0" w:color="000000"/>
              <w:right w:val="double" w:sz="2" w:space="0" w:color="000000"/>
            </w:tcBorders>
          </w:tcPr>
          <w:p>
            <w:pPr>
              <w:pStyle w:val="TableParagraph"/>
              <w:spacing w:line="320" w:lineRule="atLeast" w:before="85"/>
              <w:ind w:left="50" w:right="176"/>
              <w:rPr>
                <w:sz w:val="18"/>
              </w:rPr>
            </w:pPr>
            <w:r>
              <w:rPr>
                <w:sz w:val="18"/>
              </w:rPr>
              <w:t>Sparratenrechner (Tagesgeldkonto)</w:t>
            </w:r>
          </w:p>
        </w:tc>
        <w:tc>
          <w:tcPr>
            <w:tcW w:w="852" w:type="dxa"/>
            <w:tcBorders>
              <w:left w:val="double" w:sz="2" w:space="0" w:color="000000"/>
            </w:tcBorders>
          </w:tcPr>
          <w:p>
            <w:pPr>
              <w:pStyle w:val="TableParagraph"/>
              <w:rPr>
                <w:sz w:val="31"/>
              </w:rPr>
            </w:pPr>
          </w:p>
          <w:p>
            <w:pPr>
              <w:pStyle w:val="TableParagraph"/>
              <w:ind w:left="58"/>
              <w:rPr>
                <w:sz w:val="18"/>
              </w:rPr>
            </w:pPr>
            <w:r>
              <w:rPr>
                <w:sz w:val="18"/>
              </w:rPr>
              <w:t>,110</w:t>
            </w:r>
            <w:r>
              <w:rPr>
                <w:sz w:val="18"/>
                <w:vertAlign w:val="superscript"/>
              </w:rPr>
              <w:t>*</w:t>
            </w:r>
          </w:p>
        </w:tc>
        <w:tc>
          <w:tcPr>
            <w:tcW w:w="847" w:type="dxa"/>
          </w:tcPr>
          <w:p>
            <w:pPr>
              <w:pStyle w:val="TableParagraph"/>
              <w:rPr>
                <w:sz w:val="31"/>
              </w:rPr>
            </w:pPr>
          </w:p>
          <w:p>
            <w:pPr>
              <w:pStyle w:val="TableParagraph"/>
              <w:ind w:left="63"/>
              <w:rPr>
                <w:sz w:val="18"/>
              </w:rPr>
            </w:pPr>
            <w:r>
              <w:rPr>
                <w:sz w:val="18"/>
              </w:rPr>
              <w:t>,244</w:t>
            </w:r>
            <w:r>
              <w:rPr>
                <w:sz w:val="18"/>
                <w:vertAlign w:val="superscript"/>
              </w:rPr>
              <w:t>**</w:t>
            </w:r>
          </w:p>
        </w:tc>
        <w:tc>
          <w:tcPr>
            <w:tcW w:w="855" w:type="dxa"/>
          </w:tcPr>
          <w:p>
            <w:pPr>
              <w:pStyle w:val="TableParagraph"/>
              <w:rPr>
                <w:sz w:val="31"/>
              </w:rPr>
            </w:pPr>
          </w:p>
          <w:p>
            <w:pPr>
              <w:pStyle w:val="TableParagraph"/>
              <w:ind w:left="66"/>
              <w:rPr>
                <w:sz w:val="18"/>
              </w:rPr>
            </w:pPr>
            <w:r>
              <w:rPr>
                <w:sz w:val="18"/>
              </w:rPr>
              <w:t>,160</w:t>
            </w:r>
            <w:r>
              <w:rPr>
                <w:sz w:val="18"/>
                <w:vertAlign w:val="superscript"/>
              </w:rPr>
              <w:t>**</w:t>
            </w:r>
          </w:p>
        </w:tc>
        <w:tc>
          <w:tcPr>
            <w:tcW w:w="850" w:type="dxa"/>
          </w:tcPr>
          <w:p>
            <w:pPr>
              <w:pStyle w:val="TableParagraph"/>
              <w:rPr>
                <w:sz w:val="31"/>
              </w:rPr>
            </w:pPr>
          </w:p>
          <w:p>
            <w:pPr>
              <w:pStyle w:val="TableParagraph"/>
              <w:ind w:left="65"/>
              <w:rPr>
                <w:sz w:val="18"/>
              </w:rPr>
            </w:pPr>
            <w:r>
              <w:rPr>
                <w:sz w:val="18"/>
              </w:rPr>
              <w:t>,312</w:t>
            </w:r>
            <w:r>
              <w:rPr>
                <w:sz w:val="18"/>
                <w:vertAlign w:val="superscript"/>
              </w:rPr>
              <w:t>**</w:t>
            </w:r>
          </w:p>
        </w:tc>
        <w:tc>
          <w:tcPr>
            <w:tcW w:w="852" w:type="dxa"/>
          </w:tcPr>
          <w:p>
            <w:pPr>
              <w:pStyle w:val="TableParagraph"/>
              <w:rPr>
                <w:sz w:val="20"/>
              </w:rPr>
            </w:pPr>
          </w:p>
          <w:p>
            <w:pPr>
              <w:pStyle w:val="TableParagraph"/>
              <w:spacing w:before="126"/>
              <w:ind w:left="63"/>
              <w:rPr>
                <w:sz w:val="18"/>
              </w:rPr>
            </w:pPr>
            <w:r>
              <w:rPr>
                <w:w w:val="99"/>
                <w:sz w:val="18"/>
              </w:rPr>
              <w:t>1</w:t>
            </w:r>
          </w:p>
        </w:tc>
        <w:tc>
          <w:tcPr>
            <w:tcW w:w="850" w:type="dxa"/>
          </w:tcPr>
          <w:p>
            <w:pPr>
              <w:pStyle w:val="TableParagraph"/>
              <w:rPr>
                <w:sz w:val="31"/>
              </w:rPr>
            </w:pPr>
          </w:p>
          <w:p>
            <w:pPr>
              <w:pStyle w:val="TableParagraph"/>
              <w:ind w:left="65"/>
              <w:rPr>
                <w:sz w:val="18"/>
              </w:rPr>
            </w:pPr>
            <w:r>
              <w:rPr>
                <w:sz w:val="18"/>
              </w:rPr>
              <w:t>,483</w:t>
            </w:r>
            <w:r>
              <w:rPr>
                <w:sz w:val="18"/>
                <w:vertAlign w:val="superscript"/>
              </w:rPr>
              <w:t>**</w:t>
            </w:r>
          </w:p>
        </w:tc>
        <w:tc>
          <w:tcPr>
            <w:tcW w:w="818" w:type="dxa"/>
          </w:tcPr>
          <w:p>
            <w:pPr>
              <w:pStyle w:val="TableParagraph"/>
              <w:rPr>
                <w:sz w:val="31"/>
              </w:rPr>
            </w:pPr>
          </w:p>
          <w:p>
            <w:pPr>
              <w:pStyle w:val="TableParagraph"/>
              <w:ind w:left="65"/>
              <w:rPr>
                <w:sz w:val="18"/>
              </w:rPr>
            </w:pPr>
            <w:r>
              <w:rPr>
                <w:sz w:val="18"/>
              </w:rPr>
              <w:t>,313</w:t>
            </w:r>
            <w:r>
              <w:rPr>
                <w:sz w:val="18"/>
                <w:vertAlign w:val="superscript"/>
              </w:rPr>
              <w:t>**</w:t>
            </w:r>
          </w:p>
        </w:tc>
        <w:tc>
          <w:tcPr>
            <w:tcW w:w="856" w:type="dxa"/>
          </w:tcPr>
          <w:p>
            <w:pPr>
              <w:pStyle w:val="TableParagraph"/>
              <w:rPr>
                <w:sz w:val="31"/>
              </w:rPr>
            </w:pPr>
          </w:p>
          <w:p>
            <w:pPr>
              <w:pStyle w:val="TableParagraph"/>
              <w:ind w:left="66"/>
              <w:rPr>
                <w:sz w:val="18"/>
              </w:rPr>
            </w:pPr>
            <w:r>
              <w:rPr>
                <w:sz w:val="18"/>
              </w:rPr>
              <w:t>,470</w:t>
            </w:r>
            <w:r>
              <w:rPr>
                <w:sz w:val="18"/>
                <w:vertAlign w:val="superscript"/>
              </w:rPr>
              <w:t>**</w:t>
            </w:r>
          </w:p>
        </w:tc>
      </w:tr>
      <w:tr>
        <w:trPr>
          <w:trHeight w:val="839" w:hRule="atLeast"/>
        </w:trPr>
        <w:tc>
          <w:tcPr>
            <w:tcW w:w="587" w:type="dxa"/>
            <w:vMerge/>
            <w:tcBorders>
              <w:top w:val="nil"/>
              <w:right w:val="double" w:sz="1" w:space="0" w:color="000000"/>
            </w:tcBorders>
            <w:shd w:val="clear" w:color="auto" w:fill="8DB3E1"/>
            <w:textDirection w:val="btLr"/>
          </w:tcPr>
          <w:p>
            <w:pPr>
              <w:rPr>
                <w:sz w:val="2"/>
                <w:szCs w:val="2"/>
              </w:rPr>
            </w:pPr>
          </w:p>
        </w:tc>
        <w:tc>
          <w:tcPr>
            <w:tcW w:w="1685" w:type="dxa"/>
            <w:tcBorders>
              <w:left w:val="double" w:sz="1" w:space="0" w:color="000000"/>
              <w:right w:val="double" w:sz="2" w:space="0" w:color="000000"/>
            </w:tcBorders>
          </w:tcPr>
          <w:p>
            <w:pPr>
              <w:pStyle w:val="TableParagraph"/>
              <w:spacing w:line="320" w:lineRule="atLeast" w:before="99"/>
              <w:ind w:left="50" w:right="176"/>
              <w:rPr>
                <w:sz w:val="18"/>
              </w:rPr>
            </w:pPr>
            <w:r>
              <w:rPr>
                <w:sz w:val="18"/>
              </w:rPr>
              <w:t>Sparratenrechner (Tagesgeldkonto)</w:t>
            </w:r>
          </w:p>
        </w:tc>
        <w:tc>
          <w:tcPr>
            <w:tcW w:w="852" w:type="dxa"/>
            <w:tcBorders>
              <w:left w:val="double" w:sz="2" w:space="0" w:color="000000"/>
            </w:tcBorders>
          </w:tcPr>
          <w:p>
            <w:pPr>
              <w:pStyle w:val="TableParagraph"/>
              <w:spacing w:before="5"/>
              <w:rPr>
                <w:sz w:val="32"/>
              </w:rPr>
            </w:pPr>
          </w:p>
          <w:p>
            <w:pPr>
              <w:pStyle w:val="TableParagraph"/>
              <w:ind w:left="58"/>
              <w:rPr>
                <w:sz w:val="18"/>
              </w:rPr>
            </w:pPr>
            <w:r>
              <w:rPr>
                <w:sz w:val="18"/>
              </w:rPr>
              <w:t>,141</w:t>
            </w:r>
            <w:r>
              <w:rPr>
                <w:sz w:val="18"/>
                <w:vertAlign w:val="superscript"/>
              </w:rPr>
              <w:t>**</w:t>
            </w:r>
          </w:p>
        </w:tc>
        <w:tc>
          <w:tcPr>
            <w:tcW w:w="847" w:type="dxa"/>
          </w:tcPr>
          <w:p>
            <w:pPr>
              <w:pStyle w:val="TableParagraph"/>
              <w:spacing w:before="5"/>
              <w:rPr>
                <w:sz w:val="32"/>
              </w:rPr>
            </w:pPr>
          </w:p>
          <w:p>
            <w:pPr>
              <w:pStyle w:val="TableParagraph"/>
              <w:ind w:left="63"/>
              <w:rPr>
                <w:sz w:val="18"/>
              </w:rPr>
            </w:pPr>
            <w:r>
              <w:rPr>
                <w:sz w:val="18"/>
              </w:rPr>
              <w:t>,323</w:t>
            </w:r>
            <w:r>
              <w:rPr>
                <w:sz w:val="18"/>
                <w:vertAlign w:val="superscript"/>
              </w:rPr>
              <w:t>**</w:t>
            </w:r>
          </w:p>
        </w:tc>
        <w:tc>
          <w:tcPr>
            <w:tcW w:w="855" w:type="dxa"/>
          </w:tcPr>
          <w:p>
            <w:pPr>
              <w:pStyle w:val="TableParagraph"/>
              <w:spacing w:before="5"/>
              <w:rPr>
                <w:sz w:val="32"/>
              </w:rPr>
            </w:pPr>
          </w:p>
          <w:p>
            <w:pPr>
              <w:pStyle w:val="TableParagraph"/>
              <w:ind w:left="66"/>
              <w:rPr>
                <w:sz w:val="18"/>
              </w:rPr>
            </w:pPr>
            <w:r>
              <w:rPr>
                <w:sz w:val="18"/>
              </w:rPr>
              <w:t>,202</w:t>
            </w:r>
            <w:r>
              <w:rPr>
                <w:sz w:val="18"/>
                <w:vertAlign w:val="superscript"/>
              </w:rPr>
              <w:t>**</w:t>
            </w:r>
          </w:p>
        </w:tc>
        <w:tc>
          <w:tcPr>
            <w:tcW w:w="850" w:type="dxa"/>
          </w:tcPr>
          <w:p>
            <w:pPr>
              <w:pStyle w:val="TableParagraph"/>
              <w:spacing w:before="5"/>
              <w:rPr>
                <w:sz w:val="32"/>
              </w:rPr>
            </w:pPr>
          </w:p>
          <w:p>
            <w:pPr>
              <w:pStyle w:val="TableParagraph"/>
              <w:ind w:left="65"/>
              <w:rPr>
                <w:sz w:val="18"/>
              </w:rPr>
            </w:pPr>
            <w:r>
              <w:rPr>
                <w:sz w:val="18"/>
              </w:rPr>
              <w:t>,317</w:t>
            </w:r>
            <w:r>
              <w:rPr>
                <w:sz w:val="18"/>
                <w:vertAlign w:val="superscript"/>
              </w:rPr>
              <w:t>**</w:t>
            </w:r>
          </w:p>
        </w:tc>
        <w:tc>
          <w:tcPr>
            <w:tcW w:w="852" w:type="dxa"/>
          </w:tcPr>
          <w:p>
            <w:pPr>
              <w:pStyle w:val="TableParagraph"/>
              <w:spacing w:before="5"/>
              <w:rPr>
                <w:sz w:val="32"/>
              </w:rPr>
            </w:pPr>
          </w:p>
          <w:p>
            <w:pPr>
              <w:pStyle w:val="TableParagraph"/>
              <w:ind w:left="63"/>
              <w:rPr>
                <w:sz w:val="18"/>
              </w:rPr>
            </w:pPr>
            <w:r>
              <w:rPr>
                <w:sz w:val="18"/>
              </w:rPr>
              <w:t>,483</w:t>
            </w:r>
            <w:r>
              <w:rPr>
                <w:sz w:val="18"/>
                <w:vertAlign w:val="superscript"/>
              </w:rPr>
              <w:t>**</w:t>
            </w:r>
          </w:p>
        </w:tc>
        <w:tc>
          <w:tcPr>
            <w:tcW w:w="850" w:type="dxa"/>
          </w:tcPr>
          <w:p>
            <w:pPr>
              <w:pStyle w:val="TableParagraph"/>
              <w:rPr>
                <w:sz w:val="20"/>
              </w:rPr>
            </w:pPr>
          </w:p>
          <w:p>
            <w:pPr>
              <w:pStyle w:val="TableParagraph"/>
              <w:spacing w:before="143"/>
              <w:ind w:left="65"/>
              <w:rPr>
                <w:sz w:val="18"/>
              </w:rPr>
            </w:pPr>
            <w:r>
              <w:rPr>
                <w:w w:val="99"/>
                <w:sz w:val="18"/>
              </w:rPr>
              <w:t>1</w:t>
            </w:r>
          </w:p>
        </w:tc>
        <w:tc>
          <w:tcPr>
            <w:tcW w:w="818" w:type="dxa"/>
          </w:tcPr>
          <w:p>
            <w:pPr>
              <w:pStyle w:val="TableParagraph"/>
              <w:spacing w:before="5"/>
              <w:rPr>
                <w:sz w:val="32"/>
              </w:rPr>
            </w:pPr>
          </w:p>
          <w:p>
            <w:pPr>
              <w:pStyle w:val="TableParagraph"/>
              <w:ind w:left="65"/>
              <w:rPr>
                <w:sz w:val="18"/>
              </w:rPr>
            </w:pPr>
            <w:r>
              <w:rPr>
                <w:sz w:val="18"/>
              </w:rPr>
              <w:t>,282</w:t>
            </w:r>
            <w:r>
              <w:rPr>
                <w:sz w:val="18"/>
                <w:vertAlign w:val="superscript"/>
              </w:rPr>
              <w:t>**</w:t>
            </w:r>
          </w:p>
        </w:tc>
        <w:tc>
          <w:tcPr>
            <w:tcW w:w="856" w:type="dxa"/>
          </w:tcPr>
          <w:p>
            <w:pPr>
              <w:pStyle w:val="TableParagraph"/>
              <w:spacing w:before="5"/>
              <w:rPr>
                <w:sz w:val="32"/>
              </w:rPr>
            </w:pPr>
          </w:p>
          <w:p>
            <w:pPr>
              <w:pStyle w:val="TableParagraph"/>
              <w:ind w:left="66"/>
              <w:rPr>
                <w:sz w:val="18"/>
              </w:rPr>
            </w:pPr>
            <w:r>
              <w:rPr>
                <w:sz w:val="18"/>
              </w:rPr>
              <w:t>,480</w:t>
            </w:r>
            <w:r>
              <w:rPr>
                <w:sz w:val="18"/>
                <w:vertAlign w:val="superscript"/>
              </w:rPr>
              <w:t>**</w:t>
            </w:r>
          </w:p>
        </w:tc>
      </w:tr>
      <w:tr>
        <w:trPr>
          <w:trHeight w:val="688" w:hRule="atLeast"/>
        </w:trPr>
        <w:tc>
          <w:tcPr>
            <w:tcW w:w="587" w:type="dxa"/>
            <w:vMerge/>
            <w:tcBorders>
              <w:top w:val="nil"/>
              <w:right w:val="double" w:sz="1" w:space="0" w:color="000000"/>
            </w:tcBorders>
            <w:shd w:val="clear" w:color="auto" w:fill="8DB3E1"/>
            <w:textDirection w:val="btLr"/>
          </w:tcPr>
          <w:p>
            <w:pPr>
              <w:rPr>
                <w:sz w:val="2"/>
                <w:szCs w:val="2"/>
              </w:rPr>
            </w:pPr>
          </w:p>
        </w:tc>
        <w:tc>
          <w:tcPr>
            <w:tcW w:w="1685" w:type="dxa"/>
            <w:tcBorders>
              <w:left w:val="double" w:sz="1" w:space="0" w:color="000000"/>
              <w:right w:val="double" w:sz="2" w:space="0" w:color="000000"/>
            </w:tcBorders>
          </w:tcPr>
          <w:p>
            <w:pPr>
              <w:pStyle w:val="TableParagraph"/>
              <w:spacing w:line="320" w:lineRule="atLeast" w:before="25"/>
              <w:ind w:left="50" w:right="176"/>
              <w:rPr>
                <w:sz w:val="18"/>
              </w:rPr>
            </w:pPr>
            <w:r>
              <w:rPr>
                <w:sz w:val="18"/>
              </w:rPr>
              <w:t>Sparratenrechner (Sparbuch)</w:t>
            </w:r>
          </w:p>
        </w:tc>
        <w:tc>
          <w:tcPr>
            <w:tcW w:w="852" w:type="dxa"/>
            <w:tcBorders>
              <w:left w:val="double" w:sz="2" w:space="0" w:color="000000"/>
            </w:tcBorders>
          </w:tcPr>
          <w:p>
            <w:pPr>
              <w:pStyle w:val="TableParagraph"/>
              <w:spacing w:before="9"/>
              <w:rPr>
                <w:sz w:val="25"/>
              </w:rPr>
            </w:pPr>
          </w:p>
          <w:p>
            <w:pPr>
              <w:pStyle w:val="TableParagraph"/>
              <w:ind w:left="58"/>
              <w:rPr>
                <w:sz w:val="18"/>
              </w:rPr>
            </w:pPr>
            <w:r>
              <w:rPr>
                <w:sz w:val="18"/>
              </w:rPr>
              <w:t>,091</w:t>
            </w:r>
          </w:p>
        </w:tc>
        <w:tc>
          <w:tcPr>
            <w:tcW w:w="847" w:type="dxa"/>
          </w:tcPr>
          <w:p>
            <w:pPr>
              <w:pStyle w:val="TableParagraph"/>
              <w:spacing w:before="9"/>
              <w:rPr>
                <w:sz w:val="25"/>
              </w:rPr>
            </w:pPr>
          </w:p>
          <w:p>
            <w:pPr>
              <w:pStyle w:val="TableParagraph"/>
              <w:ind w:left="63"/>
              <w:rPr>
                <w:sz w:val="18"/>
              </w:rPr>
            </w:pPr>
            <w:r>
              <w:rPr>
                <w:sz w:val="18"/>
              </w:rPr>
              <w:t>,135</w:t>
            </w:r>
            <w:r>
              <w:rPr>
                <w:sz w:val="18"/>
                <w:vertAlign w:val="superscript"/>
              </w:rPr>
              <w:t>**</w:t>
            </w:r>
          </w:p>
        </w:tc>
        <w:tc>
          <w:tcPr>
            <w:tcW w:w="855" w:type="dxa"/>
          </w:tcPr>
          <w:p>
            <w:pPr>
              <w:pStyle w:val="TableParagraph"/>
              <w:spacing w:before="9"/>
              <w:rPr>
                <w:sz w:val="25"/>
              </w:rPr>
            </w:pPr>
          </w:p>
          <w:p>
            <w:pPr>
              <w:pStyle w:val="TableParagraph"/>
              <w:ind w:left="66"/>
              <w:rPr>
                <w:sz w:val="18"/>
              </w:rPr>
            </w:pPr>
            <w:r>
              <w:rPr>
                <w:sz w:val="18"/>
              </w:rPr>
              <w:t>,119</w:t>
            </w:r>
            <w:r>
              <w:rPr>
                <w:sz w:val="18"/>
                <w:vertAlign w:val="superscript"/>
              </w:rPr>
              <w:t>*</w:t>
            </w:r>
          </w:p>
        </w:tc>
        <w:tc>
          <w:tcPr>
            <w:tcW w:w="850" w:type="dxa"/>
          </w:tcPr>
          <w:p>
            <w:pPr>
              <w:pStyle w:val="TableParagraph"/>
              <w:spacing w:before="9"/>
              <w:rPr>
                <w:sz w:val="25"/>
              </w:rPr>
            </w:pPr>
          </w:p>
          <w:p>
            <w:pPr>
              <w:pStyle w:val="TableParagraph"/>
              <w:ind w:left="65"/>
              <w:rPr>
                <w:sz w:val="18"/>
              </w:rPr>
            </w:pPr>
            <w:r>
              <w:rPr>
                <w:sz w:val="18"/>
              </w:rPr>
              <w:t>,236</w:t>
            </w:r>
            <w:r>
              <w:rPr>
                <w:sz w:val="18"/>
                <w:vertAlign w:val="superscript"/>
              </w:rPr>
              <w:t>**</w:t>
            </w:r>
          </w:p>
        </w:tc>
        <w:tc>
          <w:tcPr>
            <w:tcW w:w="852" w:type="dxa"/>
          </w:tcPr>
          <w:p>
            <w:pPr>
              <w:pStyle w:val="TableParagraph"/>
              <w:spacing w:before="9"/>
              <w:rPr>
                <w:sz w:val="25"/>
              </w:rPr>
            </w:pPr>
          </w:p>
          <w:p>
            <w:pPr>
              <w:pStyle w:val="TableParagraph"/>
              <w:ind w:left="63"/>
              <w:rPr>
                <w:sz w:val="18"/>
              </w:rPr>
            </w:pPr>
            <w:r>
              <w:rPr>
                <w:sz w:val="18"/>
              </w:rPr>
              <w:t>,313</w:t>
            </w:r>
            <w:r>
              <w:rPr>
                <w:sz w:val="18"/>
                <w:vertAlign w:val="superscript"/>
              </w:rPr>
              <w:t>**</w:t>
            </w:r>
          </w:p>
        </w:tc>
        <w:tc>
          <w:tcPr>
            <w:tcW w:w="850" w:type="dxa"/>
          </w:tcPr>
          <w:p>
            <w:pPr>
              <w:pStyle w:val="TableParagraph"/>
              <w:spacing w:before="9"/>
              <w:rPr>
                <w:sz w:val="25"/>
              </w:rPr>
            </w:pPr>
          </w:p>
          <w:p>
            <w:pPr>
              <w:pStyle w:val="TableParagraph"/>
              <w:ind w:left="65"/>
              <w:rPr>
                <w:sz w:val="18"/>
              </w:rPr>
            </w:pPr>
            <w:r>
              <w:rPr>
                <w:sz w:val="18"/>
              </w:rPr>
              <w:t>,282</w:t>
            </w:r>
            <w:r>
              <w:rPr>
                <w:sz w:val="18"/>
                <w:vertAlign w:val="superscript"/>
              </w:rPr>
              <w:t>**</w:t>
            </w:r>
          </w:p>
        </w:tc>
        <w:tc>
          <w:tcPr>
            <w:tcW w:w="818" w:type="dxa"/>
          </w:tcPr>
          <w:p>
            <w:pPr>
              <w:pStyle w:val="TableParagraph"/>
              <w:spacing w:before="9"/>
              <w:rPr>
                <w:sz w:val="25"/>
              </w:rPr>
            </w:pPr>
          </w:p>
          <w:p>
            <w:pPr>
              <w:pStyle w:val="TableParagraph"/>
              <w:ind w:left="65"/>
              <w:rPr>
                <w:sz w:val="18"/>
              </w:rPr>
            </w:pPr>
            <w:r>
              <w:rPr>
                <w:w w:val="99"/>
                <w:sz w:val="18"/>
              </w:rPr>
              <w:t>1</w:t>
            </w:r>
          </w:p>
        </w:tc>
        <w:tc>
          <w:tcPr>
            <w:tcW w:w="856" w:type="dxa"/>
          </w:tcPr>
          <w:p>
            <w:pPr>
              <w:pStyle w:val="TableParagraph"/>
              <w:spacing w:before="9"/>
              <w:rPr>
                <w:sz w:val="25"/>
              </w:rPr>
            </w:pPr>
          </w:p>
          <w:p>
            <w:pPr>
              <w:pStyle w:val="TableParagraph"/>
              <w:ind w:left="66"/>
              <w:rPr>
                <w:sz w:val="18"/>
              </w:rPr>
            </w:pPr>
            <w:r>
              <w:rPr>
                <w:sz w:val="18"/>
              </w:rPr>
              <w:t>,294</w:t>
            </w:r>
            <w:r>
              <w:rPr>
                <w:sz w:val="18"/>
                <w:vertAlign w:val="superscript"/>
              </w:rPr>
              <w:t>**</w:t>
            </w:r>
          </w:p>
        </w:tc>
      </w:tr>
      <w:tr>
        <w:trPr>
          <w:trHeight w:val="1295" w:hRule="atLeast"/>
        </w:trPr>
        <w:tc>
          <w:tcPr>
            <w:tcW w:w="587" w:type="dxa"/>
            <w:tcBorders>
              <w:right w:val="double" w:sz="1" w:space="0" w:color="000000"/>
            </w:tcBorders>
            <w:shd w:val="clear" w:color="auto" w:fill="8DB3E1"/>
            <w:textDirection w:val="btLr"/>
          </w:tcPr>
          <w:p>
            <w:pPr>
              <w:pStyle w:val="TableParagraph"/>
              <w:spacing w:line="247" w:lineRule="auto" w:before="66"/>
              <w:ind w:left="122" w:right="102" w:firstLine="57"/>
              <w:rPr>
                <w:b/>
                <w:sz w:val="18"/>
              </w:rPr>
            </w:pPr>
            <w:r>
              <w:rPr>
                <w:b/>
                <w:sz w:val="18"/>
              </w:rPr>
              <w:t>Versichern und Steuern</w:t>
            </w:r>
          </w:p>
        </w:tc>
        <w:tc>
          <w:tcPr>
            <w:tcW w:w="1685" w:type="dxa"/>
            <w:tcBorders>
              <w:left w:val="double" w:sz="1" w:space="0" w:color="000000"/>
              <w:right w:val="double" w:sz="2" w:space="0" w:color="000000"/>
            </w:tcBorders>
          </w:tcPr>
          <w:p>
            <w:pPr>
              <w:pStyle w:val="TableParagraph"/>
              <w:rPr>
                <w:sz w:val="20"/>
              </w:rPr>
            </w:pPr>
          </w:p>
          <w:p>
            <w:pPr>
              <w:pStyle w:val="TableParagraph"/>
              <w:rPr>
                <w:sz w:val="20"/>
              </w:rPr>
            </w:pPr>
          </w:p>
          <w:p>
            <w:pPr>
              <w:pStyle w:val="TableParagraph"/>
              <w:spacing w:before="141"/>
              <w:ind w:left="50"/>
              <w:rPr>
                <w:sz w:val="18"/>
              </w:rPr>
            </w:pPr>
            <w:r>
              <w:rPr>
                <w:sz w:val="18"/>
              </w:rPr>
              <w:t>Rentenrechner</w:t>
            </w:r>
          </w:p>
        </w:tc>
        <w:tc>
          <w:tcPr>
            <w:tcW w:w="852" w:type="dxa"/>
            <w:tcBorders>
              <w:left w:val="double" w:sz="2" w:space="0" w:color="000000"/>
            </w:tcBorders>
          </w:tcPr>
          <w:p>
            <w:pPr>
              <w:pStyle w:val="TableParagraph"/>
              <w:rPr>
                <w:sz w:val="24"/>
              </w:rPr>
            </w:pPr>
          </w:p>
          <w:p>
            <w:pPr>
              <w:pStyle w:val="TableParagraph"/>
              <w:spacing w:before="3"/>
              <w:rPr>
                <w:sz w:val="28"/>
              </w:rPr>
            </w:pPr>
          </w:p>
          <w:p>
            <w:pPr>
              <w:pStyle w:val="TableParagraph"/>
              <w:ind w:left="58"/>
              <w:rPr>
                <w:sz w:val="18"/>
              </w:rPr>
            </w:pPr>
            <w:r>
              <w:rPr>
                <w:sz w:val="18"/>
              </w:rPr>
              <w:t>,123</w:t>
            </w:r>
            <w:r>
              <w:rPr>
                <w:sz w:val="18"/>
                <w:vertAlign w:val="superscript"/>
              </w:rPr>
              <w:t>*</w:t>
            </w:r>
          </w:p>
        </w:tc>
        <w:tc>
          <w:tcPr>
            <w:tcW w:w="847" w:type="dxa"/>
          </w:tcPr>
          <w:p>
            <w:pPr>
              <w:pStyle w:val="TableParagraph"/>
              <w:rPr>
                <w:sz w:val="24"/>
              </w:rPr>
            </w:pPr>
          </w:p>
          <w:p>
            <w:pPr>
              <w:pStyle w:val="TableParagraph"/>
              <w:spacing w:before="3"/>
              <w:rPr>
                <w:sz w:val="28"/>
              </w:rPr>
            </w:pPr>
          </w:p>
          <w:p>
            <w:pPr>
              <w:pStyle w:val="TableParagraph"/>
              <w:ind w:left="63"/>
              <w:rPr>
                <w:sz w:val="18"/>
              </w:rPr>
            </w:pPr>
            <w:r>
              <w:rPr>
                <w:sz w:val="18"/>
              </w:rPr>
              <w:t>,232</w:t>
            </w:r>
            <w:r>
              <w:rPr>
                <w:sz w:val="18"/>
                <w:vertAlign w:val="superscript"/>
              </w:rPr>
              <w:t>**</w:t>
            </w:r>
          </w:p>
        </w:tc>
        <w:tc>
          <w:tcPr>
            <w:tcW w:w="855" w:type="dxa"/>
          </w:tcPr>
          <w:p>
            <w:pPr>
              <w:pStyle w:val="TableParagraph"/>
              <w:rPr>
                <w:sz w:val="24"/>
              </w:rPr>
            </w:pPr>
          </w:p>
          <w:p>
            <w:pPr>
              <w:pStyle w:val="TableParagraph"/>
              <w:spacing w:before="3"/>
              <w:rPr>
                <w:sz w:val="28"/>
              </w:rPr>
            </w:pPr>
          </w:p>
          <w:p>
            <w:pPr>
              <w:pStyle w:val="TableParagraph"/>
              <w:ind w:left="66"/>
              <w:rPr>
                <w:sz w:val="18"/>
              </w:rPr>
            </w:pPr>
            <w:r>
              <w:rPr>
                <w:sz w:val="18"/>
              </w:rPr>
              <w:t>,199</w:t>
            </w:r>
            <w:r>
              <w:rPr>
                <w:sz w:val="18"/>
                <w:vertAlign w:val="superscript"/>
              </w:rPr>
              <w:t>**</w:t>
            </w:r>
          </w:p>
        </w:tc>
        <w:tc>
          <w:tcPr>
            <w:tcW w:w="850" w:type="dxa"/>
          </w:tcPr>
          <w:p>
            <w:pPr>
              <w:pStyle w:val="TableParagraph"/>
              <w:rPr>
                <w:sz w:val="24"/>
              </w:rPr>
            </w:pPr>
          </w:p>
          <w:p>
            <w:pPr>
              <w:pStyle w:val="TableParagraph"/>
              <w:spacing w:before="3"/>
              <w:rPr>
                <w:sz w:val="28"/>
              </w:rPr>
            </w:pPr>
          </w:p>
          <w:p>
            <w:pPr>
              <w:pStyle w:val="TableParagraph"/>
              <w:ind w:left="65"/>
              <w:rPr>
                <w:sz w:val="18"/>
              </w:rPr>
            </w:pPr>
            <w:r>
              <w:rPr>
                <w:sz w:val="18"/>
              </w:rPr>
              <w:t>,264</w:t>
            </w:r>
            <w:r>
              <w:rPr>
                <w:sz w:val="18"/>
                <w:vertAlign w:val="superscript"/>
              </w:rPr>
              <w:t>**</w:t>
            </w:r>
          </w:p>
        </w:tc>
        <w:tc>
          <w:tcPr>
            <w:tcW w:w="852" w:type="dxa"/>
          </w:tcPr>
          <w:p>
            <w:pPr>
              <w:pStyle w:val="TableParagraph"/>
              <w:rPr>
                <w:sz w:val="24"/>
              </w:rPr>
            </w:pPr>
          </w:p>
          <w:p>
            <w:pPr>
              <w:pStyle w:val="TableParagraph"/>
              <w:spacing w:before="3"/>
              <w:rPr>
                <w:sz w:val="28"/>
              </w:rPr>
            </w:pPr>
          </w:p>
          <w:p>
            <w:pPr>
              <w:pStyle w:val="TableParagraph"/>
              <w:ind w:left="63"/>
              <w:rPr>
                <w:sz w:val="18"/>
              </w:rPr>
            </w:pPr>
            <w:r>
              <w:rPr>
                <w:sz w:val="18"/>
              </w:rPr>
              <w:t>,470</w:t>
            </w:r>
            <w:r>
              <w:rPr>
                <w:sz w:val="18"/>
                <w:vertAlign w:val="superscript"/>
              </w:rPr>
              <w:t>**</w:t>
            </w:r>
          </w:p>
        </w:tc>
        <w:tc>
          <w:tcPr>
            <w:tcW w:w="850" w:type="dxa"/>
          </w:tcPr>
          <w:p>
            <w:pPr>
              <w:pStyle w:val="TableParagraph"/>
              <w:rPr>
                <w:sz w:val="24"/>
              </w:rPr>
            </w:pPr>
          </w:p>
          <w:p>
            <w:pPr>
              <w:pStyle w:val="TableParagraph"/>
              <w:spacing w:before="3"/>
              <w:rPr>
                <w:sz w:val="28"/>
              </w:rPr>
            </w:pPr>
          </w:p>
          <w:p>
            <w:pPr>
              <w:pStyle w:val="TableParagraph"/>
              <w:ind w:left="65"/>
              <w:rPr>
                <w:sz w:val="18"/>
              </w:rPr>
            </w:pPr>
            <w:r>
              <w:rPr>
                <w:sz w:val="18"/>
              </w:rPr>
              <w:t>,480</w:t>
            </w:r>
            <w:r>
              <w:rPr>
                <w:sz w:val="18"/>
                <w:vertAlign w:val="superscript"/>
              </w:rPr>
              <w:t>**</w:t>
            </w:r>
          </w:p>
        </w:tc>
        <w:tc>
          <w:tcPr>
            <w:tcW w:w="818" w:type="dxa"/>
          </w:tcPr>
          <w:p>
            <w:pPr>
              <w:pStyle w:val="TableParagraph"/>
              <w:rPr>
                <w:sz w:val="24"/>
              </w:rPr>
            </w:pPr>
          </w:p>
          <w:p>
            <w:pPr>
              <w:pStyle w:val="TableParagraph"/>
              <w:spacing w:before="3"/>
              <w:rPr>
                <w:sz w:val="28"/>
              </w:rPr>
            </w:pPr>
          </w:p>
          <w:p>
            <w:pPr>
              <w:pStyle w:val="TableParagraph"/>
              <w:ind w:left="65"/>
              <w:rPr>
                <w:sz w:val="18"/>
              </w:rPr>
            </w:pPr>
            <w:r>
              <w:rPr>
                <w:sz w:val="18"/>
              </w:rPr>
              <w:t>,294</w:t>
            </w:r>
            <w:r>
              <w:rPr>
                <w:sz w:val="18"/>
                <w:vertAlign w:val="superscript"/>
              </w:rPr>
              <w:t>**</w:t>
            </w:r>
          </w:p>
        </w:tc>
        <w:tc>
          <w:tcPr>
            <w:tcW w:w="856" w:type="dxa"/>
          </w:tcPr>
          <w:p>
            <w:pPr>
              <w:pStyle w:val="TableParagraph"/>
              <w:rPr>
                <w:sz w:val="20"/>
              </w:rPr>
            </w:pPr>
          </w:p>
          <w:p>
            <w:pPr>
              <w:pStyle w:val="TableParagraph"/>
              <w:rPr>
                <w:sz w:val="20"/>
              </w:rPr>
            </w:pPr>
          </w:p>
          <w:p>
            <w:pPr>
              <w:pStyle w:val="TableParagraph"/>
              <w:spacing w:before="141"/>
              <w:ind w:left="66"/>
              <w:rPr>
                <w:sz w:val="18"/>
              </w:rPr>
            </w:pPr>
            <w:r>
              <w:rPr>
                <w:w w:val="99"/>
                <w:sz w:val="18"/>
              </w:rPr>
              <w:t>1</w:t>
            </w:r>
          </w:p>
        </w:tc>
      </w:tr>
    </w:tbl>
    <w:p>
      <w:pPr>
        <w:spacing w:before="112"/>
        <w:ind w:left="274" w:right="0" w:firstLine="0"/>
        <w:jc w:val="left"/>
        <w:rPr>
          <w:sz w:val="18"/>
        </w:rPr>
      </w:pPr>
      <w:r>
        <w:rPr>
          <w:sz w:val="18"/>
        </w:rPr>
        <w:t>** Die Korrelation ist auf dem Niveau von 0,01 (2-seitig) signifikant.</w:t>
      </w:r>
    </w:p>
    <w:p>
      <w:pPr>
        <w:spacing w:before="114"/>
        <w:ind w:left="274" w:right="0" w:firstLine="0"/>
        <w:jc w:val="left"/>
        <w:rPr>
          <w:sz w:val="18"/>
        </w:rPr>
      </w:pPr>
      <w:r>
        <w:rPr>
          <w:sz w:val="18"/>
        </w:rPr>
        <w:t>* Die Korrelation ist auf dem Niveau von 0,05 (2-seitig) signifikant.</w:t>
      </w:r>
    </w:p>
    <w:p>
      <w:pPr>
        <w:spacing w:before="115"/>
        <w:ind w:left="218" w:right="0" w:firstLine="0"/>
        <w:jc w:val="left"/>
        <w:rPr>
          <w:i/>
          <w:sz w:val="20"/>
        </w:rPr>
      </w:pPr>
      <w:r>
        <w:rPr>
          <w:i/>
          <w:sz w:val="20"/>
        </w:rPr>
        <w:t>Abbildung 4: Korrelationsmatrix</w:t>
      </w:r>
    </w:p>
    <w:p>
      <w:pPr>
        <w:pStyle w:val="BodyText"/>
        <w:rPr>
          <w:i/>
        </w:rPr>
      </w:pPr>
    </w:p>
    <w:p>
      <w:pPr>
        <w:pStyle w:val="BodyText"/>
        <w:spacing w:before="8"/>
        <w:rPr>
          <w:i/>
          <w:sz w:val="21"/>
        </w:rPr>
      </w:pPr>
    </w:p>
    <w:p>
      <w:pPr>
        <w:pStyle w:val="BodyText"/>
        <w:spacing w:line="360" w:lineRule="auto"/>
        <w:ind w:left="218" w:right="230"/>
        <w:jc w:val="both"/>
      </w:pPr>
      <w:r>
        <w:rPr/>
        <w:t>Der Reliabilitätstest für die Online-Tools ergibt ein Cronbach’s Alpha von ,726 bei einer Po- pulationsgröße von n = 376. Die Trennschärfekoeffizienten </w:t>
      </w:r>
      <w:r>
        <w:rPr>
          <w:i/>
        </w:rPr>
        <w:t>r</w:t>
      </w:r>
      <w:r>
        <w:rPr>
          <w:i/>
          <w:vertAlign w:val="subscript"/>
        </w:rPr>
        <w:t>it</w:t>
      </w:r>
      <w:r>
        <w:rPr>
          <w:i/>
          <w:vertAlign w:val="baseline"/>
        </w:rPr>
        <w:t> </w:t>
      </w:r>
      <w:r>
        <w:rPr>
          <w:vertAlign w:val="baseline"/>
        </w:rPr>
        <w:t>(korrigierte Item-Skala- Korrelation) bewegen sich in einem Intervall von ,252 bis ,550 und liegen damit im mittleren Bereich. Die einzelnen Items bilden somit das Konstrukt „Bedienung eines Onlinerechners“ breit ab (Bühner 2006, 98f.), was u. a. zu einer hohen internen Konsistenz führt und damit bestätigt, dass die Items das gleiche Konstrukt messen (Cortina 1993, 99f.).</w:t>
      </w:r>
    </w:p>
    <w:p>
      <w:pPr>
        <w:spacing w:after="0" w:line="360" w:lineRule="auto"/>
        <w:jc w:val="both"/>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0"/>
        <w:jc w:val="both"/>
      </w:pPr>
      <w:r>
        <w:rPr/>
        <w:t>Aus den Ergebnissen der Reliabilitätsanalyse und der Korrelationsmatrix kann die neue Va- riable Ψ berechnet werden, die fortan das Teilkonstrukt „Bedienung von Online-Tools“ reprä- sentiert. Nachdem wie beschrieben die fehlerhaften, falschen und richtigen Eingaben der Schüler für jedes einzelne Feld eines Online-Rechners identifiziert wurden, konnte ein Ge- samtresultat für jeden Schüler und Tool gezogen werden. Das Ergebnis erschließt sich aus allen Eingaben in die verschiedenen Felder eines Online-Rechners und ist ebenfalls als rich- tig, falsch oder fehlerhaft codiert. Ungültige Angaben wurden ausgeschlossen. Um eine Ge- samtaussage über alle Rechner und für jeden Schüler zu geben, wurde aus den Werten eine Funktion der Endergebnisse der einzelnen Online-Rechner gebildet, die sich zwischen 0 und 1 bewegt und den Durchschnitt der Werte als Funktion darstellt. Anhand dieser Werte orien- tiert sich die Skala zur Ergebnispräsentation (Baur/Fromm 2008, 100f.).</w:t>
      </w:r>
    </w:p>
    <w:p>
      <w:pPr>
        <w:pStyle w:val="BodyText"/>
        <w:rPr>
          <w:sz w:val="20"/>
        </w:rPr>
      </w:pPr>
    </w:p>
    <w:p>
      <w:pPr>
        <w:pStyle w:val="BodyText"/>
        <w:spacing w:before="8"/>
        <w:rPr>
          <w:sz w:val="27"/>
        </w:rPr>
      </w:pPr>
      <w:r>
        <w:rPr/>
        <w:drawing>
          <wp:anchor distT="0" distB="0" distL="0" distR="0" allowOverlap="1" layoutInCell="1" locked="0" behindDoc="0" simplePos="0" relativeHeight="11">
            <wp:simplePos x="0" y="0"/>
            <wp:positionH relativeFrom="page">
              <wp:posOffset>1050947</wp:posOffset>
            </wp:positionH>
            <wp:positionV relativeFrom="paragraph">
              <wp:posOffset>227584</wp:posOffset>
            </wp:positionV>
            <wp:extent cx="4340039" cy="3768471"/>
            <wp:effectExtent l="0" t="0" r="0" b="0"/>
            <wp:wrapTopAndBottom/>
            <wp:docPr id="3" name="image21.png"/>
            <wp:cNvGraphicFramePr>
              <a:graphicFrameLocks noChangeAspect="1"/>
            </wp:cNvGraphicFramePr>
            <a:graphic>
              <a:graphicData uri="http://schemas.openxmlformats.org/drawingml/2006/picture">
                <pic:pic>
                  <pic:nvPicPr>
                    <pic:cNvPr id="4" name="image21.png"/>
                    <pic:cNvPicPr/>
                  </pic:nvPicPr>
                  <pic:blipFill>
                    <a:blip r:embed="rId28" cstate="print"/>
                    <a:stretch>
                      <a:fillRect/>
                    </a:stretch>
                  </pic:blipFill>
                  <pic:spPr>
                    <a:xfrm>
                      <a:off x="0" y="0"/>
                      <a:ext cx="4340039" cy="3768471"/>
                    </a:xfrm>
                    <a:prstGeom prst="rect">
                      <a:avLst/>
                    </a:prstGeom>
                  </pic:spPr>
                </pic:pic>
              </a:graphicData>
            </a:graphic>
          </wp:anchor>
        </w:drawing>
      </w:r>
    </w:p>
    <w:p>
      <w:pPr>
        <w:pStyle w:val="BodyText"/>
        <w:spacing w:before="3"/>
        <w:rPr>
          <w:sz w:val="19"/>
        </w:rPr>
      </w:pPr>
    </w:p>
    <w:p>
      <w:pPr>
        <w:spacing w:before="0"/>
        <w:ind w:left="218" w:right="0" w:firstLine="0"/>
        <w:jc w:val="both"/>
        <w:rPr>
          <w:i/>
          <w:sz w:val="20"/>
        </w:rPr>
      </w:pPr>
      <w:r>
        <w:rPr>
          <w:i/>
          <w:sz w:val="20"/>
        </w:rPr>
        <w:t>Abbildung 5: Ausprägung von Ψ</w:t>
      </w:r>
    </w:p>
    <w:p>
      <w:pPr>
        <w:pStyle w:val="BodyText"/>
        <w:rPr>
          <w:i/>
        </w:rPr>
      </w:pPr>
    </w:p>
    <w:p>
      <w:pPr>
        <w:pStyle w:val="BodyText"/>
        <w:spacing w:before="8"/>
        <w:rPr>
          <w:i/>
          <w:sz w:val="21"/>
        </w:rPr>
      </w:pPr>
    </w:p>
    <w:p>
      <w:pPr>
        <w:pStyle w:val="BodyText"/>
        <w:ind w:left="218"/>
        <w:jc w:val="both"/>
      </w:pPr>
      <w:r>
        <w:rPr/>
        <w:t>Die Berechnungsvorschrift lautet:</w:t>
      </w:r>
    </w:p>
    <w:p>
      <w:pPr>
        <w:pStyle w:val="BodyText"/>
        <w:spacing w:line="109" w:lineRule="exact" w:before="160"/>
        <w:ind w:left="1140"/>
      </w:pPr>
      <w:r>
        <w:rPr>
          <w:rFonts w:ascii="Times New Roman" w:hAnsi="Times New Roman"/>
          <w:w w:val="100"/>
          <w:position w:val="13"/>
          <w:sz w:val="16"/>
          <w:u w:val="single"/>
        </w:rPr>
        <w:t> </w:t>
      </w:r>
      <w:r>
        <w:rPr>
          <w:rFonts w:ascii="Cambria Math" w:hAnsi="Cambria Math"/>
          <w:w w:val="269"/>
          <w:position w:val="13"/>
          <w:sz w:val="16"/>
          <w:u w:val="single"/>
        </w:rPr>
        <w:t> </w:t>
      </w:r>
      <w:r>
        <w:rPr>
          <w:rFonts w:ascii="Cambria Math" w:hAnsi="Cambria Math"/>
          <w:w w:val="169"/>
          <w:position w:val="10"/>
          <w:sz w:val="13"/>
          <w:u w:val="single"/>
        </w:rPr>
        <w:t> </w:t>
      </w:r>
      <w:r>
        <w:rPr>
          <w:rFonts w:ascii="Cambria Math" w:hAnsi="Cambria Math"/>
          <w:position w:val="10"/>
          <w:sz w:val="13"/>
        </w:rPr>
        <w:t> </w:t>
      </w:r>
      <w:r>
        <w:rPr>
          <w:rFonts w:ascii="Cambria Math" w:hAnsi="Cambria Math"/>
          <w:w w:val="235"/>
        </w:rPr>
        <w:t>   </w:t>
      </w:r>
      <w:r>
        <w:rPr>
          <w:rFonts w:ascii="Cambria Math" w:hAnsi="Cambria Math"/>
        </w:rPr>
        <w:t> </w:t>
      </w:r>
      <w:r>
        <w:rPr>
          <w:rFonts w:ascii="Cambria Math" w:hAnsi="Cambria Math"/>
          <w:w w:val="261"/>
        </w:rPr>
        <w:t> </w:t>
      </w:r>
      <w:r>
        <w:rPr>
          <w:rFonts w:ascii="Cambria Math" w:hAnsi="Cambria Math"/>
        </w:rPr>
        <w:t> </w:t>
      </w:r>
      <w:r>
        <w:rPr>
          <w:rFonts w:ascii="Cambria Math" w:hAnsi="Cambria Math"/>
          <w:w w:val="283"/>
        </w:rPr>
        <w:t> </w:t>
      </w:r>
      <w:r>
        <w:rPr>
          <w:rFonts w:ascii="Cambria Math" w:hAnsi="Cambria Math"/>
        </w:rPr>
        <w:t> </w:t>
      </w:r>
      <w:r>
        <w:rPr>
          <w:rFonts w:ascii="Cambria Math" w:hAnsi="Cambria Math"/>
          <w:w w:val="339"/>
        </w:rPr>
        <w:t> </w:t>
      </w:r>
      <w:r>
        <w:rPr>
          <w:rFonts w:ascii="Cambria Math" w:hAnsi="Cambria Math"/>
          <w:w w:val="332"/>
          <w:position w:val="8"/>
          <w:sz w:val="16"/>
        </w:rPr>
        <w:t> </w:t>
      </w:r>
      <w:r>
        <w:rPr>
          <w:rFonts w:ascii="Cambria Math" w:hAnsi="Cambria Math"/>
          <w:position w:val="8"/>
          <w:sz w:val="16"/>
        </w:rPr>
        <w:t>  </w:t>
      </w:r>
      <w:r>
        <w:rPr/>
        <w:t>(Anzahl der verfügbaren Online-Tools)</w:t>
      </w:r>
    </w:p>
    <w:p>
      <w:pPr>
        <w:spacing w:before="61"/>
        <w:ind w:left="833" w:right="0" w:firstLine="0"/>
        <w:jc w:val="left"/>
        <w:rPr>
          <w:rFonts w:ascii="Cambria Math"/>
          <w:sz w:val="16"/>
        </w:rPr>
      </w:pPr>
      <w:r>
        <w:rPr>
          <w:rFonts w:ascii="Cambria Math"/>
          <w:spacing w:val="6"/>
          <w:w w:val="159"/>
          <w:sz w:val="16"/>
        </w:rPr>
        <w:t> </w:t>
      </w:r>
      <w:r>
        <w:rPr>
          <w:rFonts w:ascii="Cambria Math"/>
          <w:w w:val="332"/>
          <w:sz w:val="16"/>
        </w:rPr>
        <w:t> </w:t>
      </w:r>
      <w:r>
        <w:rPr>
          <w:rFonts w:ascii="Cambria Math"/>
          <w:w w:val="264"/>
          <w:sz w:val="16"/>
        </w:rPr>
        <w:t> </w:t>
      </w:r>
      <w:r>
        <w:rPr>
          <w:rFonts w:ascii="Cambria Math"/>
          <w:sz w:val="16"/>
        </w:rPr>
        <w:t> </w:t>
      </w:r>
      <w:r>
        <w:rPr>
          <w:rFonts w:ascii="Cambria Math"/>
          <w:spacing w:val="-15"/>
          <w:sz w:val="16"/>
        </w:rPr>
        <w:t> </w:t>
      </w:r>
      <w:r>
        <w:rPr>
          <w:rFonts w:ascii="Cambria Math"/>
          <w:w w:val="296"/>
          <w:position w:val="-5"/>
          <w:sz w:val="16"/>
        </w:rPr>
        <w:t> </w:t>
      </w:r>
    </w:p>
    <w:p>
      <w:pPr>
        <w:spacing w:after="0"/>
        <w:jc w:val="left"/>
        <w:rPr>
          <w:rFonts w:ascii="Cambria Math"/>
          <w:sz w:val="16"/>
        </w:rPr>
        <w:sectPr>
          <w:pgSz w:w="11880" w:h="16800"/>
          <w:pgMar w:header="1432" w:footer="840" w:top="2040" w:bottom="1040" w:left="1200" w:right="1180"/>
        </w:sectPr>
      </w:pPr>
    </w:p>
    <w:p>
      <w:pPr>
        <w:pStyle w:val="BodyText"/>
        <w:spacing w:before="6"/>
        <w:rPr>
          <w:rFonts w:ascii="Cambria Math"/>
          <w:sz w:val="13"/>
        </w:rPr>
      </w:pPr>
    </w:p>
    <w:p>
      <w:pPr>
        <w:pStyle w:val="BodyText"/>
        <w:spacing w:line="360" w:lineRule="auto" w:before="93"/>
        <w:ind w:left="218" w:right="233"/>
        <w:jc w:val="both"/>
      </w:pPr>
      <w:r>
        <w:rPr/>
        <w:t>Unterteilt wird die Skala für Ψ in vier Intervalle, wobei die Stufen der Skala durch vier zuge- hörige Werte beschrieben werden: Werte zwischen 0 und &lt; 0,25 zeigen ein sehr geringes Ψ, zwischen 0,25 und &lt; 0,5 ein geringes Ψ, zwischen 0,5 und &lt; 0,75 ein mittleres Ψ und im Bereich von 0,75 und 1,00 ein sehr hohes Ψ. Durch diese Einteilung können Schüler und spezifische Gruppen (Alter, Stufe, Schulform und Geschlecht) hinsichtlich Ψ analysiert wer- den.</w:t>
      </w:r>
    </w:p>
    <w:p>
      <w:pPr>
        <w:pStyle w:val="BodyText"/>
        <w:spacing w:line="360" w:lineRule="auto"/>
        <w:ind w:left="218" w:right="232"/>
        <w:jc w:val="both"/>
      </w:pPr>
      <w:r>
        <w:rPr/>
        <w:t>Insgesamt weisen ca. 60 % der Schüler einen Handlungswert Ψ &lt; 0,75 auf und befinden sich damit im mittleren Bereich der Skala. Dieser Wert überrascht, zeigt er doch, dass viele Schüler Probleme haben, die zur Verfügung gestellten Onlinerechner zu bedienen. Innerhalb der Population gibt es signifikante Unterschiede zwischen den Gruppen, die u. a. auf das Alter zurückzuführen sind. Keinen signifikanten Unterschied ergibt die Beziehung zwischen Geschlecht und</w:t>
      </w:r>
      <w:r>
        <w:rPr>
          <w:spacing w:val="-4"/>
        </w:rPr>
        <w:t> </w:t>
      </w:r>
      <w:r>
        <w:rPr/>
        <w:t>Ψ.</w:t>
      </w:r>
    </w:p>
    <w:p>
      <w:pPr>
        <w:pStyle w:val="BodyText"/>
        <w:spacing w:line="360" w:lineRule="auto"/>
        <w:ind w:left="218" w:right="230"/>
        <w:jc w:val="both"/>
      </w:pPr>
      <w:r>
        <w:rPr/>
        <w:t>Zwischen der 9. und 10. Jahrgangsstufe lässt sich ein signifikanter Unterschied in Bezug auf die Fähigkeit, Online-Tools bedienen zu können, erkennen. Der Unterschied beträgt 0,1 auf der Ψ-Skala und stellt damit einen mittleren Leistungsabfall von 10 % dar. Der Hauptteil der Schüler befindet sich in der mittleren Niveaustufe. Lediglich bei den 14-Jährigen kann von einer hohen Kompetenz Ψ (Umgang mit Online-Rechnern) gesprochen werden. Der Anteil der 14-jährigen Schüler bezieht sich auf die Schulform Gymnasium, die G8 eingeführt ha- ben.</w:t>
      </w:r>
    </w:p>
    <w:p>
      <w:pPr>
        <w:pStyle w:val="BodyText"/>
        <w:rPr>
          <w:sz w:val="20"/>
        </w:rPr>
      </w:pPr>
    </w:p>
    <w:p>
      <w:pPr>
        <w:pStyle w:val="BodyText"/>
        <w:spacing w:before="3"/>
        <w:rPr>
          <w:sz w:val="13"/>
        </w:rPr>
      </w:pPr>
    </w:p>
    <w:tbl>
      <w:tblPr>
        <w:tblW w:w="0" w:type="auto"/>
        <w:jc w:val="left"/>
        <w:tblInd w:w="22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358"/>
        <w:gridCol w:w="984"/>
        <w:gridCol w:w="1034"/>
        <w:gridCol w:w="1430"/>
        <w:gridCol w:w="1432"/>
        <w:gridCol w:w="1435"/>
        <w:gridCol w:w="1398"/>
      </w:tblGrid>
      <w:tr>
        <w:trPr>
          <w:trHeight w:val="305" w:hRule="atLeast"/>
        </w:trPr>
        <w:tc>
          <w:tcPr>
            <w:tcW w:w="1358" w:type="dxa"/>
            <w:vMerge w:val="restart"/>
          </w:tcPr>
          <w:p>
            <w:pPr>
              <w:pStyle w:val="TableParagraph"/>
              <w:rPr>
                <w:rFonts w:ascii="Times New Roman"/>
                <w:sz w:val="20"/>
              </w:rPr>
            </w:pPr>
          </w:p>
        </w:tc>
        <w:tc>
          <w:tcPr>
            <w:tcW w:w="984" w:type="dxa"/>
            <w:vMerge w:val="restart"/>
            <w:tcBorders>
              <w:right w:val="single" w:sz="8" w:space="0" w:color="000000"/>
            </w:tcBorders>
          </w:tcPr>
          <w:p>
            <w:pPr>
              <w:pStyle w:val="TableParagraph"/>
              <w:spacing w:before="111"/>
              <w:ind w:left="36"/>
              <w:jc w:val="center"/>
              <w:rPr>
                <w:sz w:val="18"/>
              </w:rPr>
            </w:pPr>
            <w:r>
              <w:rPr>
                <w:w w:val="99"/>
                <w:sz w:val="18"/>
              </w:rPr>
              <w:t>N</w:t>
            </w:r>
          </w:p>
        </w:tc>
        <w:tc>
          <w:tcPr>
            <w:tcW w:w="1034" w:type="dxa"/>
            <w:vMerge w:val="restart"/>
            <w:tcBorders>
              <w:left w:val="single" w:sz="8" w:space="0" w:color="000000"/>
              <w:right w:val="single" w:sz="8" w:space="0" w:color="000000"/>
            </w:tcBorders>
          </w:tcPr>
          <w:p>
            <w:pPr>
              <w:pStyle w:val="TableParagraph"/>
              <w:spacing w:before="111"/>
              <w:ind w:left="117" w:right="85"/>
              <w:jc w:val="center"/>
              <w:rPr>
                <w:sz w:val="18"/>
              </w:rPr>
            </w:pPr>
            <w:r>
              <w:rPr>
                <w:sz w:val="18"/>
              </w:rPr>
              <w:t>Mittelwert</w:t>
            </w:r>
          </w:p>
          <w:p>
            <w:pPr>
              <w:pStyle w:val="TableParagraph"/>
              <w:spacing w:before="65"/>
              <w:ind w:left="30"/>
              <w:jc w:val="center"/>
              <w:rPr>
                <w:sz w:val="22"/>
              </w:rPr>
            </w:pPr>
            <w:r>
              <w:rPr>
                <w:w w:val="100"/>
                <w:sz w:val="22"/>
              </w:rPr>
              <w:t>Ψ</w:t>
            </w:r>
          </w:p>
        </w:tc>
        <w:tc>
          <w:tcPr>
            <w:tcW w:w="5695" w:type="dxa"/>
            <w:gridSpan w:val="4"/>
            <w:tcBorders>
              <w:left w:val="single" w:sz="8" w:space="0" w:color="000000"/>
              <w:bottom w:val="single" w:sz="8" w:space="0" w:color="FFFFFF"/>
              <w:right w:val="single" w:sz="8" w:space="0" w:color="000000"/>
            </w:tcBorders>
          </w:tcPr>
          <w:p>
            <w:pPr>
              <w:pStyle w:val="TableParagraph"/>
              <w:spacing w:line="174" w:lineRule="exact" w:before="111"/>
              <w:ind w:left="2650" w:right="2614"/>
              <w:jc w:val="center"/>
              <w:rPr>
                <w:sz w:val="18"/>
              </w:rPr>
            </w:pPr>
            <w:r>
              <w:rPr>
                <w:sz w:val="18"/>
              </w:rPr>
              <w:t>Alter</w:t>
            </w:r>
          </w:p>
        </w:tc>
      </w:tr>
      <w:tr>
        <w:trPr>
          <w:trHeight w:val="324" w:hRule="atLeast"/>
        </w:trPr>
        <w:tc>
          <w:tcPr>
            <w:tcW w:w="1358" w:type="dxa"/>
            <w:vMerge/>
            <w:tcBorders>
              <w:top w:val="nil"/>
            </w:tcBorders>
          </w:tcPr>
          <w:p>
            <w:pPr>
              <w:rPr>
                <w:sz w:val="2"/>
                <w:szCs w:val="2"/>
              </w:rPr>
            </w:pPr>
          </w:p>
        </w:tc>
        <w:tc>
          <w:tcPr>
            <w:tcW w:w="984" w:type="dxa"/>
            <w:vMerge/>
            <w:tcBorders>
              <w:top w:val="nil"/>
              <w:right w:val="single" w:sz="8" w:space="0" w:color="000000"/>
            </w:tcBorders>
          </w:tcPr>
          <w:p>
            <w:pPr>
              <w:rPr>
                <w:sz w:val="2"/>
                <w:szCs w:val="2"/>
              </w:rPr>
            </w:pPr>
          </w:p>
        </w:tc>
        <w:tc>
          <w:tcPr>
            <w:tcW w:w="1034" w:type="dxa"/>
            <w:vMerge/>
            <w:tcBorders>
              <w:top w:val="nil"/>
              <w:left w:val="single" w:sz="8" w:space="0" w:color="000000"/>
              <w:right w:val="single" w:sz="8" w:space="0" w:color="000000"/>
            </w:tcBorders>
          </w:tcPr>
          <w:p>
            <w:pPr>
              <w:rPr>
                <w:sz w:val="2"/>
                <w:szCs w:val="2"/>
              </w:rPr>
            </w:pPr>
          </w:p>
        </w:tc>
        <w:tc>
          <w:tcPr>
            <w:tcW w:w="1430" w:type="dxa"/>
            <w:tcBorders>
              <w:top w:val="single" w:sz="8" w:space="0" w:color="000000"/>
              <w:left w:val="single" w:sz="8" w:space="0" w:color="000000"/>
              <w:right w:val="single" w:sz="8" w:space="0" w:color="000000"/>
            </w:tcBorders>
          </w:tcPr>
          <w:p>
            <w:pPr>
              <w:pStyle w:val="TableParagraph"/>
              <w:spacing w:line="184" w:lineRule="exact" w:before="120"/>
              <w:ind w:left="600" w:right="569"/>
              <w:jc w:val="center"/>
              <w:rPr>
                <w:sz w:val="18"/>
              </w:rPr>
            </w:pPr>
            <w:r>
              <w:rPr>
                <w:sz w:val="18"/>
              </w:rPr>
              <w:t>14</w:t>
            </w:r>
          </w:p>
        </w:tc>
        <w:tc>
          <w:tcPr>
            <w:tcW w:w="1432" w:type="dxa"/>
            <w:tcBorders>
              <w:top w:val="single" w:sz="8" w:space="0" w:color="000000"/>
              <w:left w:val="single" w:sz="8" w:space="0" w:color="000000"/>
            </w:tcBorders>
          </w:tcPr>
          <w:p>
            <w:pPr>
              <w:pStyle w:val="TableParagraph"/>
              <w:spacing w:line="184" w:lineRule="exact" w:before="120"/>
              <w:ind w:left="603" w:right="555"/>
              <w:jc w:val="center"/>
              <w:rPr>
                <w:sz w:val="18"/>
              </w:rPr>
            </w:pPr>
            <w:r>
              <w:rPr>
                <w:sz w:val="18"/>
              </w:rPr>
              <w:t>15</w:t>
            </w:r>
          </w:p>
        </w:tc>
        <w:tc>
          <w:tcPr>
            <w:tcW w:w="1435" w:type="dxa"/>
            <w:tcBorders>
              <w:top w:val="single" w:sz="18" w:space="0" w:color="FFFFFF"/>
            </w:tcBorders>
          </w:tcPr>
          <w:p>
            <w:pPr>
              <w:pStyle w:val="TableParagraph"/>
              <w:spacing w:line="184" w:lineRule="exact" w:before="120"/>
              <w:ind w:left="587" w:right="562"/>
              <w:jc w:val="center"/>
              <w:rPr>
                <w:sz w:val="18"/>
              </w:rPr>
            </w:pPr>
            <w:r>
              <w:rPr>
                <w:sz w:val="18"/>
              </w:rPr>
              <w:t>16</w:t>
            </w:r>
          </w:p>
        </w:tc>
        <w:tc>
          <w:tcPr>
            <w:tcW w:w="1398" w:type="dxa"/>
            <w:tcBorders>
              <w:top w:val="single" w:sz="18" w:space="0" w:color="FFFFFF"/>
            </w:tcBorders>
          </w:tcPr>
          <w:p>
            <w:pPr>
              <w:pStyle w:val="TableParagraph"/>
              <w:spacing w:line="184" w:lineRule="exact" w:before="120"/>
              <w:ind w:left="568" w:right="543"/>
              <w:jc w:val="center"/>
              <w:rPr>
                <w:sz w:val="18"/>
              </w:rPr>
            </w:pPr>
            <w:r>
              <w:rPr>
                <w:sz w:val="18"/>
              </w:rPr>
              <w:t>17</w:t>
            </w:r>
          </w:p>
        </w:tc>
      </w:tr>
      <w:tr>
        <w:trPr>
          <w:trHeight w:val="358" w:hRule="atLeast"/>
        </w:trPr>
        <w:tc>
          <w:tcPr>
            <w:tcW w:w="1358" w:type="dxa"/>
            <w:tcBorders>
              <w:bottom w:val="nil"/>
            </w:tcBorders>
          </w:tcPr>
          <w:p>
            <w:pPr>
              <w:pStyle w:val="TableParagraph"/>
              <w:spacing w:before="111"/>
              <w:ind w:left="75"/>
              <w:rPr>
                <w:sz w:val="18"/>
              </w:rPr>
            </w:pPr>
            <w:r>
              <w:rPr>
                <w:sz w:val="18"/>
              </w:rPr>
              <w:t>Gymnasium</w:t>
            </w:r>
          </w:p>
        </w:tc>
        <w:tc>
          <w:tcPr>
            <w:tcW w:w="984" w:type="dxa"/>
            <w:tcBorders>
              <w:bottom w:val="nil"/>
              <w:right w:val="single" w:sz="8" w:space="0" w:color="000000"/>
            </w:tcBorders>
          </w:tcPr>
          <w:p>
            <w:pPr>
              <w:pStyle w:val="TableParagraph"/>
              <w:spacing w:before="111"/>
              <w:ind w:right="35"/>
              <w:jc w:val="right"/>
              <w:rPr>
                <w:sz w:val="18"/>
              </w:rPr>
            </w:pPr>
            <w:r>
              <w:rPr>
                <w:w w:val="95"/>
                <w:sz w:val="18"/>
              </w:rPr>
              <w:t>215</w:t>
            </w:r>
          </w:p>
        </w:tc>
        <w:tc>
          <w:tcPr>
            <w:tcW w:w="1034" w:type="dxa"/>
            <w:tcBorders>
              <w:left w:val="single" w:sz="8" w:space="0" w:color="000000"/>
              <w:bottom w:val="nil"/>
              <w:right w:val="single" w:sz="8" w:space="0" w:color="000000"/>
            </w:tcBorders>
          </w:tcPr>
          <w:p>
            <w:pPr>
              <w:pStyle w:val="TableParagraph"/>
              <w:spacing w:before="111"/>
              <w:ind w:right="43"/>
              <w:jc w:val="right"/>
              <w:rPr>
                <w:sz w:val="18"/>
              </w:rPr>
            </w:pPr>
            <w:r>
              <w:rPr>
                <w:w w:val="95"/>
                <w:sz w:val="18"/>
              </w:rPr>
              <w:t>,7256</w:t>
            </w:r>
          </w:p>
        </w:tc>
        <w:tc>
          <w:tcPr>
            <w:tcW w:w="1430" w:type="dxa"/>
            <w:tcBorders>
              <w:left w:val="single" w:sz="8" w:space="0" w:color="000000"/>
              <w:bottom w:val="nil"/>
              <w:right w:val="single" w:sz="8" w:space="0" w:color="000000"/>
            </w:tcBorders>
          </w:tcPr>
          <w:p>
            <w:pPr>
              <w:pStyle w:val="TableParagraph"/>
              <w:spacing w:before="111"/>
              <w:ind w:right="37"/>
              <w:jc w:val="right"/>
              <w:rPr>
                <w:sz w:val="18"/>
              </w:rPr>
            </w:pPr>
            <w:r>
              <w:rPr>
                <w:w w:val="95"/>
                <w:sz w:val="18"/>
              </w:rPr>
              <w:t>,7917</w:t>
            </w:r>
          </w:p>
        </w:tc>
        <w:tc>
          <w:tcPr>
            <w:tcW w:w="1432" w:type="dxa"/>
            <w:tcBorders>
              <w:left w:val="single" w:sz="8" w:space="0" w:color="000000"/>
              <w:bottom w:val="nil"/>
            </w:tcBorders>
          </w:tcPr>
          <w:p>
            <w:pPr>
              <w:pStyle w:val="TableParagraph"/>
              <w:spacing w:before="111"/>
              <w:ind w:right="31"/>
              <w:jc w:val="right"/>
              <w:rPr>
                <w:sz w:val="18"/>
              </w:rPr>
            </w:pPr>
            <w:r>
              <w:rPr>
                <w:w w:val="95"/>
                <w:sz w:val="18"/>
              </w:rPr>
              <w:t>,7465</w:t>
            </w:r>
          </w:p>
        </w:tc>
        <w:tc>
          <w:tcPr>
            <w:tcW w:w="1435" w:type="dxa"/>
            <w:tcBorders>
              <w:bottom w:val="nil"/>
            </w:tcBorders>
          </w:tcPr>
          <w:p>
            <w:pPr>
              <w:pStyle w:val="TableParagraph"/>
              <w:spacing w:before="111"/>
              <w:ind w:right="43"/>
              <w:jc w:val="right"/>
              <w:rPr>
                <w:sz w:val="18"/>
              </w:rPr>
            </w:pPr>
            <w:r>
              <w:rPr>
                <w:w w:val="95"/>
                <w:sz w:val="18"/>
              </w:rPr>
              <w:t>,7034</w:t>
            </w:r>
          </w:p>
        </w:tc>
        <w:tc>
          <w:tcPr>
            <w:tcW w:w="1398" w:type="dxa"/>
            <w:tcBorders>
              <w:bottom w:val="nil"/>
            </w:tcBorders>
          </w:tcPr>
          <w:p>
            <w:pPr>
              <w:pStyle w:val="TableParagraph"/>
              <w:spacing w:before="111"/>
              <w:ind w:right="41"/>
              <w:jc w:val="right"/>
              <w:rPr>
                <w:sz w:val="18"/>
              </w:rPr>
            </w:pPr>
            <w:r>
              <w:rPr>
                <w:w w:val="95"/>
                <w:sz w:val="18"/>
              </w:rPr>
              <w:t>,7094</w:t>
            </w:r>
          </w:p>
        </w:tc>
      </w:tr>
      <w:tr>
        <w:trPr>
          <w:trHeight w:val="300" w:hRule="atLeast"/>
        </w:trPr>
        <w:tc>
          <w:tcPr>
            <w:tcW w:w="1358" w:type="dxa"/>
            <w:tcBorders>
              <w:top w:val="nil"/>
              <w:bottom w:val="nil"/>
            </w:tcBorders>
          </w:tcPr>
          <w:p>
            <w:pPr>
              <w:pStyle w:val="TableParagraph"/>
              <w:spacing w:before="71"/>
              <w:ind w:left="75"/>
              <w:rPr>
                <w:sz w:val="18"/>
              </w:rPr>
            </w:pPr>
            <w:r>
              <w:rPr>
                <w:sz w:val="18"/>
              </w:rPr>
              <w:t>Realschule</w:t>
            </w:r>
          </w:p>
        </w:tc>
        <w:tc>
          <w:tcPr>
            <w:tcW w:w="984" w:type="dxa"/>
            <w:tcBorders>
              <w:top w:val="nil"/>
              <w:bottom w:val="nil"/>
              <w:right w:val="single" w:sz="8" w:space="0" w:color="000000"/>
            </w:tcBorders>
          </w:tcPr>
          <w:p>
            <w:pPr>
              <w:pStyle w:val="TableParagraph"/>
              <w:spacing w:before="71"/>
              <w:ind w:right="35"/>
              <w:jc w:val="right"/>
              <w:rPr>
                <w:sz w:val="18"/>
              </w:rPr>
            </w:pPr>
            <w:r>
              <w:rPr>
                <w:w w:val="95"/>
                <w:sz w:val="18"/>
              </w:rPr>
              <w:t>104</w:t>
            </w:r>
          </w:p>
        </w:tc>
        <w:tc>
          <w:tcPr>
            <w:tcW w:w="1034" w:type="dxa"/>
            <w:tcBorders>
              <w:top w:val="nil"/>
              <w:left w:val="single" w:sz="8" w:space="0" w:color="000000"/>
              <w:bottom w:val="nil"/>
              <w:right w:val="single" w:sz="8" w:space="0" w:color="000000"/>
            </w:tcBorders>
          </w:tcPr>
          <w:p>
            <w:pPr>
              <w:pStyle w:val="TableParagraph"/>
              <w:spacing w:before="71"/>
              <w:ind w:right="43"/>
              <w:jc w:val="right"/>
              <w:rPr>
                <w:sz w:val="18"/>
              </w:rPr>
            </w:pPr>
            <w:r>
              <w:rPr>
                <w:w w:val="95"/>
                <w:sz w:val="18"/>
              </w:rPr>
              <w:t>,6743</w:t>
            </w:r>
          </w:p>
        </w:tc>
        <w:tc>
          <w:tcPr>
            <w:tcW w:w="1430" w:type="dxa"/>
            <w:tcBorders>
              <w:top w:val="nil"/>
              <w:left w:val="single" w:sz="8" w:space="0" w:color="000000"/>
              <w:bottom w:val="nil"/>
              <w:right w:val="single" w:sz="8" w:space="0" w:color="000000"/>
            </w:tcBorders>
          </w:tcPr>
          <w:p>
            <w:pPr>
              <w:pStyle w:val="TableParagraph"/>
              <w:spacing w:before="71"/>
              <w:ind w:right="39"/>
              <w:jc w:val="right"/>
              <w:rPr>
                <w:sz w:val="18"/>
              </w:rPr>
            </w:pPr>
            <w:r>
              <w:rPr>
                <w:sz w:val="18"/>
              </w:rPr>
              <w:t>,812</w:t>
            </w:r>
            <w:bookmarkStart w:name="_bookmark0" w:id="1"/>
            <w:bookmarkEnd w:id="1"/>
            <w:r>
              <w:rPr>
                <w:sz w:val="18"/>
              </w:rPr>
              <w:t>5</w:t>
            </w:r>
            <w:r>
              <w:rPr>
                <w:sz w:val="18"/>
                <w:vertAlign w:val="superscript"/>
              </w:rPr>
              <w:t>7</w:t>
            </w:r>
          </w:p>
        </w:tc>
        <w:tc>
          <w:tcPr>
            <w:tcW w:w="1432" w:type="dxa"/>
            <w:tcBorders>
              <w:top w:val="nil"/>
              <w:left w:val="single" w:sz="8" w:space="0" w:color="000000"/>
              <w:bottom w:val="nil"/>
            </w:tcBorders>
          </w:tcPr>
          <w:p>
            <w:pPr>
              <w:pStyle w:val="TableParagraph"/>
              <w:spacing w:before="71"/>
              <w:ind w:right="33"/>
              <w:jc w:val="right"/>
              <w:rPr>
                <w:sz w:val="18"/>
              </w:rPr>
            </w:pPr>
            <w:r>
              <w:rPr>
                <w:w w:val="95"/>
                <w:sz w:val="18"/>
              </w:rPr>
              <w:t>,6502</w:t>
            </w:r>
          </w:p>
        </w:tc>
        <w:tc>
          <w:tcPr>
            <w:tcW w:w="1435" w:type="dxa"/>
            <w:tcBorders>
              <w:top w:val="nil"/>
              <w:bottom w:val="nil"/>
            </w:tcBorders>
          </w:tcPr>
          <w:p>
            <w:pPr>
              <w:pStyle w:val="TableParagraph"/>
              <w:spacing w:before="71"/>
              <w:ind w:right="43"/>
              <w:jc w:val="right"/>
              <w:rPr>
                <w:sz w:val="18"/>
              </w:rPr>
            </w:pPr>
            <w:r>
              <w:rPr>
                <w:w w:val="95"/>
                <w:sz w:val="18"/>
              </w:rPr>
              <w:t>,7204</w:t>
            </w:r>
          </w:p>
        </w:tc>
        <w:tc>
          <w:tcPr>
            <w:tcW w:w="1398" w:type="dxa"/>
            <w:tcBorders>
              <w:top w:val="nil"/>
              <w:bottom w:val="nil"/>
            </w:tcBorders>
          </w:tcPr>
          <w:p>
            <w:pPr>
              <w:pStyle w:val="TableParagraph"/>
              <w:spacing w:before="71"/>
              <w:ind w:right="40"/>
              <w:jc w:val="right"/>
              <w:rPr>
                <w:sz w:val="18"/>
              </w:rPr>
            </w:pPr>
            <w:r>
              <w:rPr>
                <w:sz w:val="18"/>
              </w:rPr>
              <w:t>,7708</w:t>
            </w:r>
            <w:hyperlink w:history="true" w:anchor="_bookmark0">
              <w:r>
                <w:rPr>
                  <w:sz w:val="18"/>
                </w:rPr>
                <w:t>7</w:t>
              </w:r>
            </w:hyperlink>
          </w:p>
        </w:tc>
      </w:tr>
      <w:tr>
        <w:trPr>
          <w:trHeight w:val="357" w:hRule="atLeast"/>
        </w:trPr>
        <w:tc>
          <w:tcPr>
            <w:tcW w:w="1358" w:type="dxa"/>
            <w:tcBorders>
              <w:top w:val="nil"/>
              <w:bottom w:val="nil"/>
            </w:tcBorders>
          </w:tcPr>
          <w:p>
            <w:pPr>
              <w:pStyle w:val="TableParagraph"/>
              <w:spacing w:before="90"/>
              <w:ind w:left="75"/>
              <w:rPr>
                <w:sz w:val="18"/>
              </w:rPr>
            </w:pPr>
            <w:r>
              <w:rPr>
                <w:sz w:val="18"/>
              </w:rPr>
              <w:t>Berufsschule</w:t>
            </w:r>
          </w:p>
        </w:tc>
        <w:tc>
          <w:tcPr>
            <w:tcW w:w="984" w:type="dxa"/>
            <w:tcBorders>
              <w:top w:val="nil"/>
              <w:bottom w:val="nil"/>
              <w:right w:val="single" w:sz="8" w:space="0" w:color="000000"/>
            </w:tcBorders>
          </w:tcPr>
          <w:p>
            <w:pPr>
              <w:pStyle w:val="TableParagraph"/>
              <w:spacing w:before="90"/>
              <w:ind w:right="35"/>
              <w:jc w:val="right"/>
              <w:rPr>
                <w:sz w:val="18"/>
              </w:rPr>
            </w:pPr>
            <w:r>
              <w:rPr>
                <w:w w:val="95"/>
                <w:sz w:val="18"/>
              </w:rPr>
              <w:t>57</w:t>
            </w:r>
          </w:p>
        </w:tc>
        <w:tc>
          <w:tcPr>
            <w:tcW w:w="1034" w:type="dxa"/>
            <w:tcBorders>
              <w:top w:val="nil"/>
              <w:left w:val="single" w:sz="8" w:space="0" w:color="000000"/>
              <w:bottom w:val="nil"/>
              <w:right w:val="single" w:sz="8" w:space="0" w:color="000000"/>
            </w:tcBorders>
          </w:tcPr>
          <w:p>
            <w:pPr>
              <w:pStyle w:val="TableParagraph"/>
              <w:spacing w:before="90"/>
              <w:ind w:right="43"/>
              <w:jc w:val="right"/>
              <w:rPr>
                <w:sz w:val="18"/>
              </w:rPr>
            </w:pPr>
            <w:r>
              <w:rPr>
                <w:w w:val="95"/>
                <w:sz w:val="18"/>
              </w:rPr>
              <w:t>,4287</w:t>
            </w:r>
          </w:p>
        </w:tc>
        <w:tc>
          <w:tcPr>
            <w:tcW w:w="1430" w:type="dxa"/>
            <w:tcBorders>
              <w:top w:val="nil"/>
              <w:left w:val="single" w:sz="8" w:space="0" w:color="000000"/>
              <w:bottom w:val="nil"/>
              <w:right w:val="single" w:sz="8" w:space="0" w:color="000000"/>
            </w:tcBorders>
          </w:tcPr>
          <w:p>
            <w:pPr>
              <w:pStyle w:val="TableParagraph"/>
              <w:spacing w:before="90"/>
              <w:ind w:right="39"/>
              <w:jc w:val="right"/>
              <w:rPr>
                <w:sz w:val="18"/>
              </w:rPr>
            </w:pPr>
            <w:r>
              <w:rPr>
                <w:sz w:val="18"/>
              </w:rPr>
              <w:t>------</w:t>
            </w:r>
          </w:p>
        </w:tc>
        <w:tc>
          <w:tcPr>
            <w:tcW w:w="1432" w:type="dxa"/>
            <w:tcBorders>
              <w:top w:val="nil"/>
              <w:left w:val="single" w:sz="8" w:space="0" w:color="000000"/>
              <w:bottom w:val="nil"/>
            </w:tcBorders>
          </w:tcPr>
          <w:p>
            <w:pPr>
              <w:pStyle w:val="TableParagraph"/>
              <w:spacing w:before="18"/>
              <w:ind w:right="29"/>
              <w:jc w:val="right"/>
              <w:rPr>
                <w:sz w:val="14"/>
              </w:rPr>
            </w:pPr>
            <w:r>
              <w:rPr>
                <w:sz w:val="18"/>
              </w:rPr>
              <w:t>,0313</w:t>
            </w:r>
            <w:hyperlink w:history="true" w:anchor="_bookmark0">
              <w:r>
                <w:rPr>
                  <w:position w:val="10"/>
                  <w:sz w:val="14"/>
                </w:rPr>
                <w:t>7</w:t>
              </w:r>
            </w:hyperlink>
          </w:p>
        </w:tc>
        <w:tc>
          <w:tcPr>
            <w:tcW w:w="1435" w:type="dxa"/>
            <w:tcBorders>
              <w:top w:val="nil"/>
              <w:bottom w:val="nil"/>
            </w:tcBorders>
          </w:tcPr>
          <w:p>
            <w:pPr>
              <w:pStyle w:val="TableParagraph"/>
              <w:spacing w:before="90"/>
              <w:ind w:right="43"/>
              <w:jc w:val="right"/>
              <w:rPr>
                <w:sz w:val="18"/>
              </w:rPr>
            </w:pPr>
            <w:r>
              <w:rPr>
                <w:w w:val="95"/>
                <w:sz w:val="18"/>
              </w:rPr>
              <w:t>,4375</w:t>
            </w:r>
          </w:p>
        </w:tc>
        <w:tc>
          <w:tcPr>
            <w:tcW w:w="1398" w:type="dxa"/>
            <w:tcBorders>
              <w:top w:val="nil"/>
              <w:bottom w:val="nil"/>
            </w:tcBorders>
          </w:tcPr>
          <w:p>
            <w:pPr>
              <w:pStyle w:val="TableParagraph"/>
              <w:spacing w:before="90"/>
              <w:ind w:right="41"/>
              <w:jc w:val="right"/>
              <w:rPr>
                <w:sz w:val="18"/>
              </w:rPr>
            </w:pPr>
            <w:r>
              <w:rPr>
                <w:w w:val="95"/>
                <w:sz w:val="18"/>
              </w:rPr>
              <w:t>,4479</w:t>
            </w:r>
          </w:p>
        </w:tc>
      </w:tr>
      <w:tr>
        <w:trPr>
          <w:trHeight w:val="260" w:hRule="atLeast"/>
        </w:trPr>
        <w:tc>
          <w:tcPr>
            <w:tcW w:w="1358" w:type="dxa"/>
            <w:tcBorders>
              <w:top w:val="nil"/>
            </w:tcBorders>
          </w:tcPr>
          <w:p>
            <w:pPr>
              <w:pStyle w:val="TableParagraph"/>
              <w:spacing w:line="186" w:lineRule="exact" w:before="54"/>
              <w:ind w:left="75"/>
              <w:rPr>
                <w:sz w:val="18"/>
              </w:rPr>
            </w:pPr>
            <w:r>
              <w:rPr>
                <w:sz w:val="18"/>
              </w:rPr>
              <w:t>Gesamt</w:t>
            </w:r>
          </w:p>
        </w:tc>
        <w:tc>
          <w:tcPr>
            <w:tcW w:w="984" w:type="dxa"/>
            <w:tcBorders>
              <w:top w:val="nil"/>
              <w:right w:val="single" w:sz="8" w:space="0" w:color="000000"/>
            </w:tcBorders>
          </w:tcPr>
          <w:p>
            <w:pPr>
              <w:pStyle w:val="TableParagraph"/>
              <w:spacing w:line="186" w:lineRule="exact" w:before="54"/>
              <w:ind w:right="35"/>
              <w:jc w:val="right"/>
              <w:rPr>
                <w:sz w:val="18"/>
              </w:rPr>
            </w:pPr>
            <w:r>
              <w:rPr>
                <w:w w:val="95"/>
                <w:sz w:val="18"/>
              </w:rPr>
              <w:t>376</w:t>
            </w:r>
          </w:p>
        </w:tc>
        <w:tc>
          <w:tcPr>
            <w:tcW w:w="1034" w:type="dxa"/>
            <w:tcBorders>
              <w:top w:val="nil"/>
              <w:left w:val="single" w:sz="8" w:space="0" w:color="000000"/>
              <w:right w:val="single" w:sz="8" w:space="0" w:color="000000"/>
            </w:tcBorders>
          </w:tcPr>
          <w:p>
            <w:pPr>
              <w:pStyle w:val="TableParagraph"/>
              <w:spacing w:line="186" w:lineRule="exact" w:before="54"/>
              <w:ind w:right="43"/>
              <w:jc w:val="right"/>
              <w:rPr>
                <w:sz w:val="18"/>
              </w:rPr>
            </w:pPr>
            <w:r>
              <w:rPr>
                <w:w w:val="95"/>
                <w:sz w:val="18"/>
              </w:rPr>
              <w:t>,6664</w:t>
            </w:r>
          </w:p>
        </w:tc>
        <w:tc>
          <w:tcPr>
            <w:tcW w:w="1430" w:type="dxa"/>
            <w:tcBorders>
              <w:top w:val="nil"/>
              <w:left w:val="single" w:sz="8" w:space="0" w:color="000000"/>
              <w:right w:val="single" w:sz="8" w:space="0" w:color="000000"/>
            </w:tcBorders>
          </w:tcPr>
          <w:p>
            <w:pPr>
              <w:pStyle w:val="TableParagraph"/>
              <w:spacing w:line="186" w:lineRule="exact" w:before="54"/>
              <w:ind w:right="39"/>
              <w:jc w:val="right"/>
              <w:rPr>
                <w:sz w:val="18"/>
              </w:rPr>
            </w:pPr>
            <w:r>
              <w:rPr>
                <w:sz w:val="18"/>
              </w:rPr>
              <w:t>------</w:t>
            </w:r>
          </w:p>
        </w:tc>
        <w:tc>
          <w:tcPr>
            <w:tcW w:w="1432" w:type="dxa"/>
            <w:tcBorders>
              <w:top w:val="nil"/>
              <w:left w:val="single" w:sz="8" w:space="0" w:color="000000"/>
            </w:tcBorders>
          </w:tcPr>
          <w:p>
            <w:pPr>
              <w:pStyle w:val="TableParagraph"/>
              <w:spacing w:line="186" w:lineRule="exact" w:before="54"/>
              <w:ind w:right="32"/>
              <w:jc w:val="right"/>
              <w:rPr>
                <w:sz w:val="18"/>
              </w:rPr>
            </w:pPr>
            <w:r>
              <w:rPr>
                <w:sz w:val="18"/>
              </w:rPr>
              <w:t>------</w:t>
            </w:r>
          </w:p>
        </w:tc>
        <w:tc>
          <w:tcPr>
            <w:tcW w:w="1435" w:type="dxa"/>
            <w:tcBorders>
              <w:top w:val="nil"/>
            </w:tcBorders>
          </w:tcPr>
          <w:p>
            <w:pPr>
              <w:pStyle w:val="TableParagraph"/>
              <w:spacing w:line="186" w:lineRule="exact" w:before="54"/>
              <w:ind w:right="43"/>
              <w:jc w:val="right"/>
              <w:rPr>
                <w:sz w:val="18"/>
              </w:rPr>
            </w:pPr>
            <w:r>
              <w:rPr>
                <w:sz w:val="18"/>
              </w:rPr>
              <w:t>------</w:t>
            </w:r>
          </w:p>
        </w:tc>
        <w:tc>
          <w:tcPr>
            <w:tcW w:w="1398" w:type="dxa"/>
            <w:tcBorders>
              <w:top w:val="nil"/>
            </w:tcBorders>
          </w:tcPr>
          <w:p>
            <w:pPr>
              <w:pStyle w:val="TableParagraph"/>
              <w:spacing w:line="186" w:lineRule="exact" w:before="54"/>
              <w:ind w:right="42"/>
              <w:jc w:val="right"/>
              <w:rPr>
                <w:sz w:val="18"/>
              </w:rPr>
            </w:pPr>
            <w:r>
              <w:rPr>
                <w:sz w:val="18"/>
              </w:rPr>
              <w:t>------</w:t>
            </w:r>
          </w:p>
        </w:tc>
      </w:tr>
    </w:tbl>
    <w:p>
      <w:pPr>
        <w:spacing w:before="115"/>
        <w:ind w:left="218" w:right="0" w:firstLine="0"/>
        <w:jc w:val="both"/>
        <w:rPr>
          <w:i/>
          <w:sz w:val="20"/>
        </w:rPr>
      </w:pPr>
      <w:r>
        <w:rPr>
          <w:i/>
          <w:sz w:val="20"/>
        </w:rPr>
        <w:t>Abbildung 6: Beziehung zwischen Schulform und Alter</w:t>
      </w:r>
    </w:p>
    <w:p>
      <w:pPr>
        <w:pStyle w:val="BodyText"/>
        <w:rPr>
          <w:i/>
        </w:rPr>
      </w:pPr>
    </w:p>
    <w:p>
      <w:pPr>
        <w:pStyle w:val="BodyText"/>
        <w:spacing w:before="7"/>
        <w:rPr>
          <w:i/>
          <w:sz w:val="21"/>
        </w:rPr>
      </w:pPr>
    </w:p>
    <w:p>
      <w:pPr>
        <w:pStyle w:val="BodyText"/>
        <w:spacing w:line="360" w:lineRule="auto" w:before="1"/>
        <w:ind w:left="218" w:right="229"/>
        <w:jc w:val="both"/>
      </w:pPr>
      <w:r>
        <w:rPr/>
        <w:pict>
          <v:shape style="position:absolute;margin-left:70.944pt;margin-top:97.937881pt;width:144.050pt;height:.1pt;mso-position-horizontal-relative:page;mso-position-vertical-relative:paragraph;z-index:-251645952;mso-wrap-distance-left:0;mso-wrap-distance-right:0" coordorigin="1419,1959" coordsize="2881,0" path="m1419,1959l4299,1959e" filled="false" stroked="true" strokeweight=".599980pt" strokecolor="#000000">
            <v:path arrowok="t"/>
            <v:stroke dashstyle="solid"/>
            <w10:wrap type="topAndBottom"/>
          </v:shape>
        </w:pict>
      </w:r>
      <w:r>
        <w:rPr/>
        <w:t>Insgesamt gibt es einen signifikanten Zusammenhang zwischen Ψ und den jeweiligen Schul- formen. So haben im Vergleich die 15-Jährigen am Gymnasium ein 10%iges höheres Ψ als gleichaltrige Schüler an den Realschulen. Die niedrigsten Ψ – Werte verzeichnen am Gym- nasium die 16- und an der Realschule die 15-jährigen Schüler. Bei den 16-Jährigen gibt es insgesamt keine signifikanten Unterschiede zwischen den Schulformen.</w:t>
      </w:r>
    </w:p>
    <w:p>
      <w:pPr>
        <w:spacing w:before="27"/>
        <w:ind w:left="218" w:right="0" w:firstLine="0"/>
        <w:jc w:val="both"/>
        <w:rPr>
          <w:sz w:val="20"/>
        </w:rPr>
      </w:pPr>
      <w:r>
        <w:rPr>
          <w:position w:val="10"/>
          <w:sz w:val="13"/>
        </w:rPr>
        <w:t>7 </w:t>
      </w:r>
      <w:r>
        <w:rPr>
          <w:sz w:val="20"/>
        </w:rPr>
        <w:t>Stichprobengröße in dieser Altersklasse zu klein für signifikante Aussagen (n ≤ 5)</w:t>
      </w:r>
    </w:p>
    <w:p>
      <w:pPr>
        <w:spacing w:after="0"/>
        <w:jc w:val="both"/>
        <w:rPr>
          <w:sz w:val="20"/>
        </w:rPr>
        <w:sectPr>
          <w:pgSz w:w="11880" w:h="16800"/>
          <w:pgMar w:header="1432" w:footer="840" w:top="2040" w:bottom="1040" w:left="1200" w:right="1180"/>
        </w:sectPr>
      </w:pPr>
    </w:p>
    <w:p>
      <w:pPr>
        <w:pStyle w:val="BodyText"/>
        <w:spacing w:before="9"/>
        <w:rPr>
          <w:sz w:val="13"/>
        </w:rPr>
      </w:pPr>
    </w:p>
    <w:p>
      <w:pPr>
        <w:pStyle w:val="BodyText"/>
        <w:spacing w:line="360" w:lineRule="auto" w:before="93"/>
        <w:ind w:left="218" w:right="230"/>
        <w:jc w:val="both"/>
      </w:pPr>
      <w:r>
        <w:rPr/>
        <w:t>Ein Erklärungsansatz dieser Entwicklung könnte sein, dass in der 10. Jahrgangsstufe des Gymnasiums viele Schüler von anderen Schulformen (Einführungsphase in NRW/G8) ge- wechselt sind und sich die Werte zwischen diesen beiden Schulformen angleichen. Während an den Gymnasien die Ψ – Werte bei den 14 bis 16-Jährigen abnehmen und erst bei den 17-Jährigen marginal steigen, gibt es an der Realschule eine Differenz von 0,7 zwischen den 15- und 16-Jährigen.</w:t>
      </w:r>
    </w:p>
    <w:p>
      <w:pPr>
        <w:pStyle w:val="BodyText"/>
        <w:spacing w:line="360" w:lineRule="auto"/>
        <w:ind w:left="218" w:right="231"/>
        <w:jc w:val="both"/>
      </w:pPr>
      <w:r>
        <w:rPr/>
        <w:t>Bei den Berufsschulen bleiben die Werte insgesamt unter einem Wert von 0,5 in allen Al- tersklassen und bedingen dadurch die abfallenden Werte bezogen auf das Alter in Abbil- dung 6. Zu untersuchen ist die Beziehung zwischen den Werten von Ψ und der Motivation sowie der Einstellung zu Geld, bezogen auf Schulform und Alter. Hierin könnte eine mögli- che Erklärung dieser ersten Ergebnisse liegen.</w:t>
      </w:r>
    </w:p>
    <w:p>
      <w:pPr>
        <w:pStyle w:val="BodyText"/>
        <w:spacing w:before="10"/>
        <w:rPr>
          <w:sz w:val="32"/>
        </w:rPr>
      </w:pPr>
    </w:p>
    <w:p>
      <w:pPr>
        <w:pStyle w:val="Heading1"/>
        <w:numPr>
          <w:ilvl w:val="0"/>
          <w:numId w:val="1"/>
        </w:numPr>
        <w:tabs>
          <w:tab w:pos="651" w:val="left" w:leader="none"/>
        </w:tabs>
        <w:spacing w:line="240" w:lineRule="auto" w:before="0" w:after="0"/>
        <w:ind w:left="650" w:right="0" w:hanging="433"/>
        <w:jc w:val="both"/>
      </w:pPr>
      <w:r>
        <w:rPr/>
        <w:t>Fazit</w:t>
      </w:r>
    </w:p>
    <w:p>
      <w:pPr>
        <w:pStyle w:val="BodyText"/>
        <w:spacing w:line="360" w:lineRule="auto" w:before="151"/>
        <w:ind w:left="218" w:right="230"/>
        <w:jc w:val="both"/>
      </w:pPr>
      <w:r>
        <w:rPr/>
        <w:t>Die Diskussion um eine financial literacy steht trotz der vielen Studien noch am Anfang, da ein einheitliches Verständnis für eine valide Erhebung noch nicht absehbar ist. Wichtige Fa- cetten, </w:t>
      </w:r>
      <w:r>
        <w:rPr>
          <w:spacing w:val="-2"/>
        </w:rPr>
        <w:t>wie </w:t>
      </w:r>
      <w:r>
        <w:rPr/>
        <w:t>z. B. der Umgang mit Online-Rechnern zur eigenen Information und Risikovor- sorge, sind bis jetzt noch nicht berücksichtigt worden und können erstmals in FILS gemes- sen werden. Die Itemanalyse und die Auswertungen von Ψ als Variable haben gezeigt, dass die Erhebung handlungsbasierter Daten notwendig und weiterführend ist, um financial literacy in allen Facetten zu</w:t>
      </w:r>
      <w:r>
        <w:rPr>
          <w:spacing w:val="-8"/>
        </w:rPr>
        <w:t> </w:t>
      </w:r>
      <w:r>
        <w:rPr/>
        <w:t>erfassen.</w:t>
      </w:r>
    </w:p>
    <w:p>
      <w:pPr>
        <w:pStyle w:val="BodyText"/>
        <w:spacing w:before="11"/>
        <w:rPr>
          <w:sz w:val="32"/>
        </w:rPr>
      </w:pPr>
    </w:p>
    <w:p>
      <w:pPr>
        <w:pStyle w:val="Heading1"/>
        <w:ind w:left="218" w:firstLine="0"/>
        <w:jc w:val="left"/>
      </w:pPr>
      <w:r>
        <w:rPr/>
        <w:t>Literaturverzeichnis</w:t>
      </w:r>
    </w:p>
    <w:p>
      <w:pPr>
        <w:pStyle w:val="BodyText"/>
        <w:spacing w:before="151"/>
        <w:ind w:left="643" w:right="359" w:hanging="425"/>
      </w:pPr>
      <w:r>
        <w:rPr/>
        <w:t>Aprea, C. (2012): Messung der Befähigung zum Umgang mit Geld und Finanzthemen: Aus- gewählte Instrumente und alternative diagnostische Zugänge. In: Berufs-und Wirt- schaftspädagogik online, bwp@ Nr.22. Online: </w:t>
      </w:r>
      <w:hyperlink r:id="rId29">
        <w:r>
          <w:rPr/>
          <w:t>http://www.bwpat.de/ausgabe22/aprea_bwpat22.pdf </w:t>
        </w:r>
      </w:hyperlink>
      <w:r>
        <w:rPr/>
        <w:t>(30.08.12).</w:t>
      </w:r>
    </w:p>
    <w:p>
      <w:pPr>
        <w:pStyle w:val="BodyText"/>
        <w:spacing w:before="119"/>
        <w:ind w:left="643" w:right="436" w:hanging="425"/>
      </w:pPr>
      <w:r>
        <w:rPr/>
        <w:t>Autralian Ministerial Council on Education, Employment Training and Youth Affairs (2006): National Consumer and Financial Literacy Framework. Online: </w:t>
      </w:r>
      <w:hyperlink r:id="rId30">
        <w:r>
          <w:rPr/>
          <w:t>www.mceetya.edu.au/verve/_resources/Financial_Literacy_Framework.pdf </w:t>
        </w:r>
      </w:hyperlink>
      <w:r>
        <w:rPr/>
        <w:t>(30.08.12).</w:t>
      </w:r>
    </w:p>
    <w:p>
      <w:pPr>
        <w:pStyle w:val="BodyText"/>
        <w:spacing w:before="122"/>
        <w:ind w:left="643" w:right="277" w:hanging="425"/>
      </w:pPr>
      <w:r>
        <w:rPr/>
        <w:t>Barry, D., Breuer K. (im Druck) (2012): Die Einstellung zu Geld bei Jugendlichen und jungen Erwachsenen – Entwicklung eines Instruments in deutscher Sprache. In: Discussion pa- per number 1202. (Hg.): Gesellschaftliche Teilhabe trotz Schulden, C. W. Hergenröder, Wiesbaden. Online: </w:t>
      </w:r>
      <w:hyperlink r:id="rId31">
        <w:r>
          <w:rPr/>
          <w:t>http://wiwi.uni-mainz.de/Dateien/DP_1202.pdf </w:t>
        </w:r>
      </w:hyperlink>
      <w:r>
        <w:rPr/>
        <w:t>(30.08.12).</w:t>
      </w:r>
    </w:p>
    <w:p>
      <w:pPr>
        <w:pStyle w:val="BodyText"/>
        <w:spacing w:before="119"/>
        <w:ind w:left="218"/>
      </w:pPr>
      <w:r>
        <w:rPr/>
        <w:t>Barton, D., Hamilton, M. (2000): Local Literacies. Reading and Writing in One Community.</w:t>
      </w:r>
    </w:p>
    <w:p>
      <w:pPr>
        <w:pStyle w:val="BodyText"/>
        <w:spacing w:before="1"/>
        <w:ind w:left="643"/>
      </w:pPr>
      <w:r>
        <w:rPr/>
        <w:t>London/New York: Routledge.</w:t>
      </w:r>
    </w:p>
    <w:p>
      <w:pPr>
        <w:pStyle w:val="BodyText"/>
        <w:spacing w:before="119"/>
        <w:ind w:left="643" w:right="310" w:hanging="425"/>
      </w:pPr>
      <w:r>
        <w:rPr/>
        <w:t>Basic Skills Agency (1993): Parents and their schildren. The Intergenerational Effect of Poor Basic Skills, London, Adult Literacy and Basic Skills Unit.</w:t>
      </w:r>
    </w:p>
    <w:p>
      <w:pPr>
        <w:spacing w:after="0"/>
        <w:sectPr>
          <w:pgSz w:w="11880" w:h="16800"/>
          <w:pgMar w:header="1432" w:footer="840" w:top="2040" w:bottom="1040" w:left="1200" w:right="1180"/>
        </w:sectPr>
      </w:pPr>
    </w:p>
    <w:p>
      <w:pPr>
        <w:pStyle w:val="BodyText"/>
        <w:spacing w:before="9"/>
        <w:rPr>
          <w:sz w:val="13"/>
        </w:rPr>
      </w:pPr>
    </w:p>
    <w:p>
      <w:pPr>
        <w:pStyle w:val="BodyText"/>
        <w:spacing w:before="93"/>
        <w:ind w:left="218"/>
      </w:pPr>
      <w:r>
        <w:rPr/>
        <w:t>Baur, N., Fromm, S. (2008): Datenanalyse mit SPSS für Fortgeschrittene, Berlin: Springer.</w:t>
      </w:r>
    </w:p>
    <w:p>
      <w:pPr>
        <w:pStyle w:val="BodyText"/>
        <w:spacing w:before="119"/>
        <w:ind w:left="643" w:right="432" w:hanging="425"/>
      </w:pPr>
      <w:r>
        <w:rPr/>
        <w:t>BDA (Bundesvereinigung der Deutschen Arbeitgeberverbände) (1998): Mehr ökonomische Bildung in der Schule – Memorandum der unternehmerischen Wirtschaft zur ökonomi- schen Bildung im allgemeinbildenden Schulwesen. Online: www.sowi- online.de/reader/oekonomie/bda_memo.htm (30.08.12).</w:t>
      </w:r>
    </w:p>
    <w:p>
      <w:pPr>
        <w:pStyle w:val="BodyText"/>
        <w:spacing w:before="121"/>
        <w:ind w:left="643" w:right="287" w:hanging="425"/>
      </w:pPr>
      <w:r>
        <w:rPr/>
        <w:t>Bright, I., Keller, R. (2012): Overview of ING International Survey results on financial compe- tence Graphical illustrations of notable differences, ING DiBa.</w:t>
      </w:r>
    </w:p>
    <w:p>
      <w:pPr>
        <w:pStyle w:val="BodyText"/>
        <w:spacing w:before="121"/>
        <w:ind w:left="643" w:right="395" w:hanging="425"/>
      </w:pPr>
      <w:r>
        <w:rPr/>
        <w:t>Bühner, M. (2006): Einführung in die Test- und Fragebogenkonstruktion, 2. Aufl., München: Don Mills: Pearson Studium.</w:t>
      </w:r>
    </w:p>
    <w:p>
      <w:pPr>
        <w:pStyle w:val="BodyText"/>
        <w:spacing w:before="118"/>
        <w:ind w:left="218"/>
      </w:pPr>
      <w:r>
        <w:rPr/>
        <w:t>Chomsky, N. (1965): Aspects of the Theory of Syntax, Massachusetts.</w:t>
      </w:r>
    </w:p>
    <w:p>
      <w:pPr>
        <w:pStyle w:val="BodyText"/>
        <w:spacing w:line="252" w:lineRule="exact" w:before="122"/>
        <w:ind w:left="218"/>
      </w:pPr>
      <w:r>
        <w:rPr/>
        <w:t>Cortina, J. M. (1993): What is Coefficient Alpha? An Examination of Theory and Applications.</w:t>
      </w:r>
    </w:p>
    <w:p>
      <w:pPr>
        <w:pStyle w:val="BodyText"/>
        <w:ind w:left="643" w:right="789"/>
      </w:pPr>
      <w:r>
        <w:rPr/>
        <w:t>In: Journal of Applied Psychology, Bd 78, Nr. 1, 98ff. Online: </w:t>
      </w:r>
      <w:hyperlink r:id="rId32">
        <w:r>
          <w:rPr/>
          <w:t>http://psychweb.psy.umt.edu/denis/datadecision/front/cortina_alpha.pdf </w:t>
        </w:r>
      </w:hyperlink>
      <w:r>
        <w:rPr/>
        <w:t>(30.08.12).</w:t>
      </w:r>
    </w:p>
    <w:p>
      <w:pPr>
        <w:pStyle w:val="BodyText"/>
        <w:spacing w:before="120"/>
        <w:ind w:left="218"/>
      </w:pPr>
      <w:r>
        <w:rPr/>
        <w:t>Disney, R., Gathergood, J. (2011): FINANCIAL LITERACY AND INDEBTEDNESS: NEW</w:t>
      </w:r>
    </w:p>
    <w:p>
      <w:pPr>
        <w:pStyle w:val="BodyText"/>
        <w:spacing w:before="1"/>
        <w:ind w:left="643" w:right="3291"/>
      </w:pPr>
      <w:r>
        <w:rPr/>
        <w:t>EVIDENCE FOR UK CONSUMERS. Online: </w:t>
      </w:r>
      <w:hyperlink r:id="rId33">
        <w:r>
          <w:rPr/>
          <w:t>http://driver-</w:t>
        </w:r>
      </w:hyperlink>
      <w:r>
        <w:rPr/>
        <w:t> support.eu/cfcm/documents/papers/11-05.pdf (30.08.12).</w:t>
      </w:r>
    </w:p>
    <w:p>
      <w:pPr>
        <w:pStyle w:val="BodyText"/>
        <w:spacing w:before="118"/>
        <w:ind w:left="218"/>
      </w:pPr>
      <w:r>
        <w:rPr/>
        <w:t>Frankfurter Allgemeine Zeitung (2012): Krankenpolicen nur für mündige Verbraucher, Nr.</w:t>
      </w:r>
    </w:p>
    <w:p>
      <w:pPr>
        <w:pStyle w:val="BodyText"/>
        <w:spacing w:before="2"/>
        <w:ind w:left="643"/>
      </w:pPr>
      <w:r>
        <w:rPr/>
        <w:t>165, 17, (18.07.2012).</w:t>
      </w:r>
    </w:p>
    <w:p>
      <w:pPr>
        <w:pStyle w:val="BodyText"/>
        <w:spacing w:before="119"/>
        <w:ind w:left="643" w:right="849" w:hanging="425"/>
      </w:pPr>
      <w:r>
        <w:rPr/>
        <w:t>FTE (Foundation for Teaching Economics) (2005): Annual Report. Online: </w:t>
      </w:r>
      <w:hyperlink r:id="rId34">
        <w:r>
          <w:rPr/>
          <w:t>www.fte.org</w:t>
        </w:r>
      </w:hyperlink>
      <w:r>
        <w:rPr/>
        <w:t> (30.08.12).</w:t>
      </w:r>
    </w:p>
    <w:p>
      <w:pPr>
        <w:pStyle w:val="BodyText"/>
        <w:spacing w:before="120"/>
        <w:ind w:left="643" w:right="1240" w:hanging="425"/>
      </w:pPr>
      <w:r>
        <w:rPr/>
        <w:t>Furnham, A. (1984): Many Sides of the Coin. The Psychology of Money Usage. In: Personality and Individual Difference, 5, 5, 501-509.</w:t>
      </w:r>
    </w:p>
    <w:p>
      <w:pPr>
        <w:pStyle w:val="BodyText"/>
        <w:spacing w:before="120"/>
        <w:ind w:left="643" w:right="276" w:hanging="425"/>
        <w:jc w:val="both"/>
      </w:pPr>
      <w:r>
        <w:rPr/>
        <w:t>Gemeinsame Initiative von Eltern, Lehrern, Wissenschaft, Arbeitgebern und Gewerkschaften (2000): Memorandum. Wirtschaft – notwendig für die schulische Allgemeinbildung. Onli- ne: </w:t>
      </w:r>
      <w:hyperlink r:id="rId35">
        <w:r>
          <w:rPr/>
          <w:t>www.sowi-online.de/reader/oekonomie/dgb_bda.htm </w:t>
        </w:r>
      </w:hyperlink>
      <w:r>
        <w:rPr/>
        <w:t>(30.08.12).</w:t>
      </w:r>
    </w:p>
    <w:p>
      <w:pPr>
        <w:pStyle w:val="BodyText"/>
        <w:spacing w:before="120"/>
        <w:ind w:left="643" w:right="592" w:hanging="425"/>
      </w:pPr>
      <w:r>
        <w:rPr/>
        <w:t>Geradi, K., Goette, L., Meier, S. (2010): Financial Literacy and Subprime Mortgage Delin- quency: Evidence from a Survey Matched to Administrative Data.</w:t>
      </w:r>
    </w:p>
    <w:p>
      <w:pPr>
        <w:pStyle w:val="BodyText"/>
        <w:spacing w:before="121"/>
        <w:ind w:left="643" w:right="225" w:hanging="425"/>
      </w:pPr>
      <w:r>
        <w:rPr/>
        <w:t>Gnam, E., Silgoner, M. A., Weber, B. (2007): Volkswirtschafts- und Finanzbildung: Konzepte, Ziele, Messung. In: Geldpolitik und Wirtschaft, 3. Quartal, 30-52.</w:t>
      </w:r>
    </w:p>
    <w:p>
      <w:pPr>
        <w:pStyle w:val="BodyText"/>
        <w:spacing w:before="120"/>
        <w:ind w:left="643" w:right="313" w:hanging="425"/>
      </w:pPr>
      <w:r>
        <w:rPr/>
        <w:t>Grotlüschen, A., Riekmann, W. (2011): Konservative Entscheidungen. Größenordnung des funktionalen Analphabetismus in Deutschland. In: Report. Zeitschrift für Weiterbildungs- forschung, 34. Jg., Hf. 3, 24-35.</w:t>
      </w:r>
    </w:p>
    <w:p>
      <w:pPr>
        <w:pStyle w:val="BodyText"/>
        <w:spacing w:line="370" w:lineRule="atLeast" w:before="3"/>
        <w:ind w:left="218"/>
      </w:pPr>
      <w:r>
        <w:rPr/>
        <w:t>Häcker, K. (2007): Mit Geld richtig umgehen. In: Wirtschaft und Unterricht, 1/2007, Köln. Handelsblatt (2004): Viele Deutsche sind Finanz-Analphabeten, 22.07.2004. Online:</w:t>
      </w:r>
    </w:p>
    <w:p>
      <w:pPr>
        <w:pStyle w:val="BodyText"/>
        <w:spacing w:before="3"/>
        <w:ind w:left="643" w:right="1585"/>
      </w:pPr>
      <w:hyperlink r:id="rId36">
        <w:r>
          <w:rPr/>
          <w:t>http://www.handelsblatt.com/finanzen/vorsorge/viele-deutsche-sind-finanz-</w:t>
        </w:r>
      </w:hyperlink>
      <w:r>
        <w:rPr/>
        <w:t> analphabeten;765686 (13.04. 2010).</w:t>
      </w:r>
    </w:p>
    <w:p>
      <w:pPr>
        <w:pStyle w:val="BodyText"/>
        <w:spacing w:before="121"/>
        <w:ind w:left="643" w:right="558" w:hanging="425"/>
      </w:pPr>
      <w:r>
        <w:rPr/>
        <w:t>Hartig, J., Klieme, E. (2007): Möglichkeiten und Voraussetzungen technologiebasierter Kompetenzdiagnostik. Eine Expertise im Auftrag des Bundesministeriums für Bildung und Forschung, Berlin.</w:t>
      </w:r>
    </w:p>
    <w:p>
      <w:pPr>
        <w:pStyle w:val="BodyText"/>
        <w:spacing w:before="120"/>
        <w:ind w:left="218"/>
      </w:pPr>
      <w:r>
        <w:rPr/>
        <w:t>Health and Retirement Study 2004: Online: </w:t>
      </w:r>
      <w:hyperlink r:id="rId8">
        <w:r>
          <w:rPr/>
          <w:t>http://hrsonline.isr.umich.edu/ </w:t>
        </w:r>
      </w:hyperlink>
      <w:r>
        <w:rPr/>
        <w:t>(30.08.2012).</w:t>
      </w:r>
    </w:p>
    <w:p>
      <w:pPr>
        <w:spacing w:after="0"/>
        <w:sectPr>
          <w:pgSz w:w="11880" w:h="16800"/>
          <w:pgMar w:header="1432" w:footer="840" w:top="2040" w:bottom="1040" w:left="1200" w:right="1180"/>
        </w:sectPr>
      </w:pPr>
    </w:p>
    <w:p>
      <w:pPr>
        <w:pStyle w:val="BodyText"/>
        <w:spacing w:before="9"/>
        <w:rPr>
          <w:sz w:val="13"/>
        </w:rPr>
      </w:pPr>
    </w:p>
    <w:p>
      <w:pPr>
        <w:pStyle w:val="BodyText"/>
        <w:spacing w:before="93"/>
        <w:ind w:left="643" w:right="423" w:hanging="425"/>
      </w:pPr>
      <w:r>
        <w:rPr/>
        <w:t>Jung, E. (2006): Möglichkeiten der Überprüfung von Kompetenzmodellen in der ökonomi- schen Bildung. In: Weitz, B. O. (Hg.): Kompetenzentwicklung, -förderung und –prüfung in der ökonomischen Bildung. In: Wirtschafts- und Berufspädagogische Schriften der Deutschen Gesellschaft für ökonomische Bildung, Bd. 33, Bergisch Gladbach, 33-60.</w:t>
      </w:r>
    </w:p>
    <w:p>
      <w:pPr>
        <w:pStyle w:val="BodyText"/>
        <w:spacing w:before="119"/>
        <w:ind w:left="643" w:right="313" w:hanging="425"/>
      </w:pPr>
      <w:r>
        <w:rPr/>
        <w:t>Jung, E. (2009): Kompetenzmodelle und Bildungsstandards zur ökonomischen Bildung vor dem Hintergrund der Expertise „Zur Entwicklung nationaler Bildungsstandards“ – Replik und Ansätze zur weiteren Diskussion. In: Theuerkauf, W. E., Meschenmoser, H., Meier, B., Zöllner, H. (Hg.): Qualität technischer Bildung: Zur Entwicklung von Kompetenzmo- dellen und Kompetenzdiagnostik, Berlin, 195-209. Online: http://www.uni- potsdam.de/u/al/forsch/download/WocateQualitaetTechnischerBildung2009.pdf (29.08.</w:t>
      </w:r>
    </w:p>
    <w:p>
      <w:pPr>
        <w:pStyle w:val="BodyText"/>
        <w:spacing w:before="1"/>
        <w:ind w:left="643"/>
      </w:pPr>
      <w:r>
        <w:rPr/>
        <w:t>2012).</w:t>
      </w:r>
    </w:p>
    <w:p>
      <w:pPr>
        <w:pStyle w:val="BodyText"/>
        <w:spacing w:before="119"/>
        <w:ind w:left="643" w:right="250" w:hanging="425"/>
      </w:pPr>
      <w:r>
        <w:rPr/>
        <w:t>Kaminski, H., Friebel, S. (2012): Arbeitspapier „Finanzielle Allgemeinbildung als Bestandteil der ökonomischen Bildung“. Online: </w:t>
      </w:r>
      <w:hyperlink r:id="rId37">
        <w:r>
          <w:rPr/>
          <w:t>http://www.ioeb.de/sites/default/files/img/Arbeitspapier_Finanzielle%20Allgemeinbildung</w:t>
        </w:r>
      </w:hyperlink>
    </w:p>
    <w:p>
      <w:pPr>
        <w:pStyle w:val="BodyText"/>
        <w:spacing w:before="3"/>
        <w:ind w:left="643"/>
      </w:pPr>
      <w:r>
        <w:rPr/>
        <w:t>_Juli_2012.pdf (30.08.12).</w:t>
      </w:r>
    </w:p>
    <w:p>
      <w:pPr>
        <w:pStyle w:val="BodyText"/>
        <w:spacing w:before="119"/>
        <w:ind w:left="643" w:right="384" w:hanging="425"/>
      </w:pPr>
      <w:r>
        <w:rPr/>
        <w:t>Klieme, E. (2004): Was sind Kompetenzen und wie lassen sie sich messen? In: Pädagogik, 6, 0-13.</w:t>
      </w:r>
    </w:p>
    <w:p>
      <w:pPr>
        <w:pStyle w:val="BodyText"/>
        <w:spacing w:before="120"/>
        <w:ind w:left="643" w:right="250" w:hanging="425"/>
      </w:pPr>
      <w:r>
        <w:rPr/>
        <w:t>Krotsch, S., Locher, C. (2012): Banking News – Datenbasiertes Multikanal-Marketing: Signa- le für den Vertrieb. In: Bank-Zeitschrift für Bankpolitik und Bankpraxis, (11), 30.</w:t>
      </w:r>
    </w:p>
    <w:p>
      <w:pPr>
        <w:pStyle w:val="BodyText"/>
        <w:spacing w:before="120"/>
        <w:ind w:left="643" w:right="224" w:hanging="425"/>
      </w:pPr>
      <w:r>
        <w:rPr/>
        <w:t>Leinert, J. (2004): Finanzieller Analphabetismus in Deutschland: Schlechte Voraussetzungen für eigenverantwortliche Vorsorge. In: Gesundheits- und Sozialpolitik, Jg. 58, Hf. 3-4,</w:t>
      </w:r>
    </w:p>
    <w:p>
      <w:pPr>
        <w:pStyle w:val="BodyText"/>
        <w:spacing w:line="251" w:lineRule="exact"/>
        <w:ind w:left="643"/>
      </w:pPr>
      <w:r>
        <w:rPr/>
        <w:t>24-30.</w:t>
      </w:r>
    </w:p>
    <w:p>
      <w:pPr>
        <w:pStyle w:val="BodyText"/>
        <w:spacing w:before="122"/>
        <w:ind w:left="643" w:right="436" w:hanging="425"/>
      </w:pPr>
      <w:r>
        <w:rPr/>
        <w:t>Lusardi, A., Mitchel O. S. (2011): Financial Literacy around the World: An Overview. In: NBER Working Paper Series (National Bureau of Economic Research), working Paper 17107. Online: </w:t>
      </w:r>
      <w:hyperlink r:id="rId38">
        <w:r>
          <w:rPr/>
          <w:t>http://www.nber.org/papers/w17107 </w:t>
        </w:r>
      </w:hyperlink>
      <w:r>
        <w:rPr/>
        <w:t>(29.08.012).</w:t>
      </w:r>
    </w:p>
    <w:p>
      <w:pPr>
        <w:pStyle w:val="BodyText"/>
        <w:spacing w:before="120"/>
        <w:ind w:left="643" w:right="335" w:hanging="425"/>
      </w:pPr>
      <w:r>
        <w:rPr/>
        <w:t>Macha, K., Schuhen, M. (2013): ECOS – ein unter Gendergesichtspunkten fairer Test allge- meiner ökonomischer Kompetenzen. In: Retzmann, T. (Hg.): Ökonomische Allgemein- bildung in der Sekundarstufe II, Bad Schwalbach, 140-152.</w:t>
      </w:r>
    </w:p>
    <w:p>
      <w:pPr>
        <w:pStyle w:val="BodyText"/>
        <w:spacing w:before="119"/>
        <w:ind w:left="643" w:right="241" w:hanging="425"/>
      </w:pPr>
      <w:r>
        <w:rPr/>
        <w:t>Macha, K., Schuhen, M. (2012a): Modellierung ökonomischer Kompetenz im Rahmen der Pilotstudie zu ECOS – Economic Competencies Study. In: Bayrhuber, H., Harms, U., Muszynski, B., Ralle, B., Rothgangel, M., Schön, L.-H., Vollmer, H.-J., Weigand, H.-G. (Hg.): Formate Fachdidaktischer Forschung. Empirische Projekte – historische Analysen</w:t>
      </w:r>
    </w:p>
    <w:p>
      <w:pPr>
        <w:pStyle w:val="BodyText"/>
        <w:spacing w:before="1"/>
        <w:ind w:left="643" w:right="765"/>
      </w:pPr>
      <w:r>
        <w:rPr/>
        <w:t>– theoretische Grundlegungen, Fachdidaktische Forschungen, Bd. 2, Münster/New York/München/Berlin: Waxmann, 183-200.</w:t>
      </w:r>
    </w:p>
    <w:p>
      <w:pPr>
        <w:pStyle w:val="BodyText"/>
        <w:spacing w:before="121"/>
        <w:ind w:left="643" w:right="396" w:hanging="425"/>
      </w:pPr>
      <w:r>
        <w:rPr/>
        <w:t>Macha, K., Schuhen, M. (2012b): Kompetenzmessung in der Domäne Ökonomie. In: Schu- hen, M., Wohlgemuth, M., Müller, C. (Hg.) (2012): Ökonomische Bildung und Wirt- schaftsordnung, Stuttgart: Lucius&amp;Lucius, 125-138.</w:t>
      </w:r>
    </w:p>
    <w:p>
      <w:pPr>
        <w:pStyle w:val="BodyText"/>
        <w:spacing w:before="119"/>
        <w:ind w:left="643" w:right="619" w:hanging="425"/>
      </w:pPr>
      <w:r>
        <w:rPr/>
        <w:t>Macha, K., Schuhen, M. (2011a): Framework for Measuring Economic Competencies. In: Journal of Social Science Education, 3/2011, 26-45. Online: </w:t>
      </w:r>
      <w:hyperlink r:id="rId39">
        <w:r>
          <w:rPr/>
          <w:t>http://www.jsse.org/2011/2011-3/pdf/schuhen-macha-jsse-3-2011.pdf.</w:t>
        </w:r>
      </w:hyperlink>
    </w:p>
    <w:p>
      <w:pPr>
        <w:pStyle w:val="BodyText"/>
        <w:spacing w:before="120"/>
        <w:ind w:left="643" w:right="264" w:hanging="425"/>
      </w:pPr>
      <w:r>
        <w:rPr/>
        <w:t>Macha, K., Schuhen, M. (2011b): Modellierung ökonomischer Kompetenz in einer Pilotstudie zu ECOS. In: Siegener Beiträge zur Ökonomischen Bildung, 2/2011. Online: </w:t>
      </w:r>
      <w:hyperlink r:id="rId40">
        <w:r>
          <w:rPr/>
          <w:t>http://dokumentix.ub.uni-</w:t>
        </w:r>
      </w:hyperlink>
      <w:r>
        <w:rPr/>
        <w:t> siegen.de/opus/volltexte/2012/599/pdf/Modellierung_oekonomischer_kompetenz.pdf.</w:t>
      </w:r>
    </w:p>
    <w:p>
      <w:pPr>
        <w:spacing w:after="0"/>
        <w:sectPr>
          <w:pgSz w:w="11880" w:h="16800"/>
          <w:pgMar w:header="1432" w:footer="840" w:top="2040" w:bottom="1040" w:left="1200" w:right="1180"/>
        </w:sectPr>
      </w:pPr>
    </w:p>
    <w:p>
      <w:pPr>
        <w:pStyle w:val="BodyText"/>
        <w:spacing w:before="9"/>
        <w:rPr>
          <w:sz w:val="13"/>
        </w:rPr>
      </w:pPr>
    </w:p>
    <w:p>
      <w:pPr>
        <w:pStyle w:val="BodyText"/>
        <w:spacing w:before="93"/>
        <w:ind w:left="643" w:right="591" w:hanging="425"/>
      </w:pPr>
      <w:r>
        <w:rPr/>
        <w:t>Mandell, L. (2008): The Financial Literacy of Young American Adults. Results of the 2008 National Jump$tart Coalition Survey of High School Seniors and College Students.</w:t>
      </w:r>
    </w:p>
    <w:p>
      <w:pPr>
        <w:pStyle w:val="BodyText"/>
        <w:spacing w:before="1"/>
        <w:ind w:left="643"/>
      </w:pPr>
      <w:r>
        <w:rPr/>
        <w:t>Online: </w:t>
      </w:r>
      <w:hyperlink r:id="rId41">
        <w:r>
          <w:rPr/>
          <w:t>http://www.jumpstart.org/assets/files/2008SurveyBook.pdf </w:t>
        </w:r>
      </w:hyperlink>
      <w:r>
        <w:rPr/>
        <w:t>(30.08.2012).</w:t>
      </w:r>
    </w:p>
    <w:p>
      <w:pPr>
        <w:pStyle w:val="BodyText"/>
        <w:spacing w:line="252" w:lineRule="exact" w:before="119"/>
        <w:ind w:left="218"/>
      </w:pPr>
      <w:r>
        <w:rPr/>
        <w:t>NCEE (National Council on Economic Education) (o. J.): Campaign for Economic Literacy.</w:t>
      </w:r>
    </w:p>
    <w:p>
      <w:pPr>
        <w:pStyle w:val="BodyText"/>
        <w:spacing w:line="252" w:lineRule="exact"/>
        <w:ind w:left="643"/>
      </w:pPr>
      <w:r>
        <w:rPr/>
        <w:t>Online: </w:t>
      </w:r>
      <w:hyperlink r:id="rId42">
        <w:r>
          <w:rPr/>
          <w:t>www.ncee.net/ </w:t>
        </w:r>
      </w:hyperlink>
      <w:r>
        <w:rPr/>
        <w:t>(30.08.12).</w:t>
      </w:r>
    </w:p>
    <w:p>
      <w:pPr>
        <w:pStyle w:val="BodyText"/>
        <w:spacing w:before="121"/>
        <w:ind w:left="643" w:right="592" w:hanging="425"/>
      </w:pPr>
      <w:r>
        <w:rPr/>
        <w:t>OECD (2011): Measuring Financial Literacy: Questionnaire and Guidance Notes for Con- ducting an Internationally Comparable Survey of Financial Literacy, Paris.</w:t>
      </w:r>
    </w:p>
    <w:p>
      <w:pPr>
        <w:pStyle w:val="BodyText"/>
        <w:spacing w:before="121"/>
        <w:ind w:left="643" w:right="435" w:hanging="425"/>
      </w:pPr>
      <w:r>
        <w:rPr/>
        <w:t>Oelkers, J. (2003): PISA, Standards und „eigenständiges Lernen“. Online: </w:t>
      </w:r>
      <w:hyperlink r:id="rId43">
        <w:r>
          <w:rPr/>
          <w:t>http://www.paed.unizh.ch/ap/downloads/oelkers/Vortraege/088_Wartensee.pdf </w:t>
        </w:r>
      </w:hyperlink>
      <w:r>
        <w:rPr/>
        <w:t>(17.05.</w:t>
      </w:r>
    </w:p>
    <w:p>
      <w:pPr>
        <w:pStyle w:val="BodyText"/>
        <w:spacing w:line="251" w:lineRule="exact"/>
        <w:ind w:left="643"/>
      </w:pPr>
      <w:r>
        <w:rPr/>
        <w:t>2011).</w:t>
      </w:r>
    </w:p>
    <w:p>
      <w:pPr>
        <w:pStyle w:val="BodyText"/>
        <w:spacing w:before="121"/>
        <w:ind w:left="643" w:right="421" w:hanging="425"/>
      </w:pPr>
      <w:r>
        <w:rPr/>
        <w:t>PISA 2012 Financial Literacy Framework (2010): Draft subject to possible revision after the field trial (2010), zuletzt aktualisiert am 14.01.2011, zuletzt geprüft am 13.09.2011.</w:t>
      </w:r>
    </w:p>
    <w:p>
      <w:pPr>
        <w:pStyle w:val="BodyText"/>
        <w:spacing w:before="121"/>
        <w:ind w:left="643" w:right="605" w:hanging="425"/>
      </w:pPr>
      <w:r>
        <w:rPr/>
        <w:t>Reifner, U. (2006): EU General Report. In: Reifner, U. (Hg.): Financial Literacy in Europe, Baden-Baden: NOMOS-Verlag.</w:t>
      </w:r>
    </w:p>
    <w:p>
      <w:pPr>
        <w:pStyle w:val="BodyText"/>
        <w:spacing w:before="120"/>
        <w:ind w:left="643" w:right="861" w:hanging="425"/>
      </w:pPr>
      <w:r>
        <w:rPr/>
        <w:t>Remmele, B., Seeber, G., Speer, S., Stoller, F. (2012): Kurzbericht: Ansprüche an und Grenzen von ökonomischer Grundbildung. Online: http://www.uni-koblenz- landau.de/landau/fb6/sowi/iww/team/Professoren/seeber/oegbe (30.08.12).</w:t>
      </w:r>
    </w:p>
    <w:p>
      <w:pPr>
        <w:pStyle w:val="BodyText"/>
        <w:spacing w:before="120"/>
        <w:ind w:left="643" w:right="702" w:hanging="425"/>
      </w:pPr>
      <w:r>
        <w:rPr/>
        <w:t>Schlösser, J., Neubauer, M., Tzanova, P. (2011): Finanzielle Bildung. In: Aus Politik und Zeitgeschichte, 12/2011, 21.03.2011, 21-27.</w:t>
      </w:r>
    </w:p>
    <w:p>
      <w:pPr>
        <w:pStyle w:val="BodyText"/>
        <w:spacing w:before="120"/>
        <w:ind w:left="643" w:right="261" w:hanging="425"/>
      </w:pPr>
      <w:r>
        <w:rPr/>
        <w:t>Schlösser, H. J., Schuhen, M. (2011): Ökonomische Grundbildung. In: Siegener Beiträge zur Ökonomischen Bildung, 4/2011. Online: </w:t>
      </w:r>
      <w:hyperlink r:id="rId40">
        <w:r>
          <w:rPr/>
          <w:t>http://dokumentix.ub.uni-</w:t>
        </w:r>
      </w:hyperlink>
      <w:r>
        <w:rPr/>
        <w:t> siegen.de/opus/volltexte/2012/601/pdf/Oekonomische_Grundbildung.pdf (20.02.2013).</w:t>
      </w:r>
    </w:p>
    <w:p>
      <w:pPr>
        <w:pStyle w:val="BodyText"/>
        <w:spacing w:before="120"/>
        <w:ind w:left="643" w:right="266" w:hanging="425"/>
      </w:pPr>
      <w:r>
        <w:rPr/>
        <w:t>Schürz, M., Weber, B. (2005): Finanzielle Allgemeinbildung – ein Ansatz zur Lösung von Problemen im Finanzsektor? In: Kurswechsel – Zeitschrift für gesellschafts-, wirtschafts- und umweltpolitische Alternativen, (3), 55-69.</w:t>
      </w:r>
    </w:p>
    <w:p>
      <w:pPr>
        <w:pStyle w:val="BodyText"/>
        <w:spacing w:before="120"/>
        <w:ind w:left="218"/>
      </w:pPr>
      <w:r>
        <w:rPr/>
        <w:t>Sen, A. K. (2010): Die Idee der Gerechtigkeit, München: Beck.</w:t>
      </w:r>
    </w:p>
    <w:p>
      <w:pPr>
        <w:pStyle w:val="BodyText"/>
        <w:spacing w:before="119"/>
        <w:ind w:left="643" w:right="617" w:hanging="425"/>
      </w:pPr>
      <w:r>
        <w:rPr/>
        <w:t>Smith, R. C., Sharp, E. H., Campbell, R.: Evaluation of Financial Fitness for Life Program and Future Outlook in the Mississippi Delta. Online: </w:t>
      </w:r>
      <w:hyperlink r:id="rId44">
        <w:r>
          <w:rPr/>
          <w:t>www.aeaweb.org </w:t>
        </w:r>
      </w:hyperlink>
      <w:r>
        <w:rPr/>
        <w:t>(30.08.12).</w:t>
      </w:r>
    </w:p>
    <w:p>
      <w:pPr>
        <w:pStyle w:val="BodyText"/>
        <w:spacing w:before="120"/>
        <w:ind w:left="643" w:right="445" w:hanging="425"/>
      </w:pPr>
      <w:r>
        <w:rPr/>
        <w:t>Tang, T. L. (1992): The meaning of money revisited. In: Journal of Organizational Behavior 13, 197-202.</w:t>
      </w:r>
    </w:p>
    <w:p>
      <w:pPr>
        <w:pStyle w:val="BodyText"/>
        <w:spacing w:line="352" w:lineRule="auto" w:before="121"/>
        <w:ind w:left="218" w:right="1240"/>
      </w:pPr>
      <w:r>
        <w:rPr/>
        <w:t>UNESCO (1962): Statement of the International Committee of Experts on Literacy. UNESCO Institute for Education (2005): UIE Nexus, Vol. 5., No. 1.</w:t>
      </w:r>
    </w:p>
    <w:p>
      <w:pPr>
        <w:pStyle w:val="BodyText"/>
        <w:spacing w:before="2"/>
        <w:ind w:left="643" w:right="399" w:hanging="425"/>
      </w:pPr>
      <w:r>
        <w:rPr/>
        <w:t>Weinert, F. E. (2001): Vergleichende Leistungsmessung in Schulen – eine umstrittene Selbstverständlichkeit. In: Weinert, F. E. (Hg.). Leistungsmessungen in Schulen, Wein- heim: Beltz, 17-31.</w:t>
      </w:r>
    </w:p>
    <w:p>
      <w:pPr>
        <w:pStyle w:val="BodyText"/>
        <w:spacing w:before="120"/>
        <w:ind w:left="218"/>
      </w:pPr>
      <w:r>
        <w:rPr/>
        <w:t>Weltonline (2004): Finanzieller Analphabetismus in Deutschland weit verbreitet, 22.07.2004.</w:t>
      </w:r>
    </w:p>
    <w:p>
      <w:pPr>
        <w:pStyle w:val="BodyText"/>
        <w:spacing w:before="2"/>
        <w:ind w:left="643" w:right="398"/>
      </w:pPr>
      <w:r>
        <w:rPr/>
        <w:t>Online: </w:t>
      </w:r>
      <w:hyperlink r:id="rId45">
        <w:r>
          <w:rPr/>
          <w:t>http://www.welt.de/print-</w:t>
        </w:r>
      </w:hyperlink>
      <w:r>
        <w:rPr/>
        <w:t> welt/article329169/Finanzieller_Analphabetismus_in_Deutschland_weit_verbreitet.html (13.04.2010).</w:t>
      </w:r>
    </w:p>
    <w:p>
      <w:pPr>
        <w:pStyle w:val="BodyText"/>
        <w:spacing w:line="370" w:lineRule="atLeast" w:before="2"/>
        <w:ind w:left="218" w:right="758"/>
      </w:pPr>
      <w:r>
        <w:rPr/>
        <w:t>Winther, E. (2010): Kompetenzmessung in der beruflichen Bildung, Bielefeld. Yamauchi, K. T., Templer, D. I. (1982): The Development of a Money Attitude Scale. In:</w:t>
      </w:r>
    </w:p>
    <w:p>
      <w:pPr>
        <w:pStyle w:val="BodyText"/>
        <w:spacing w:before="4"/>
        <w:ind w:left="643"/>
      </w:pPr>
      <w:r>
        <w:rPr/>
        <w:t>Journal of Personality Assessment, 46.5, 522-528.</w:t>
      </w:r>
    </w:p>
    <w:sectPr>
      <w:pgSz w:w="11880" w:h="16800"/>
      <w:pgMar w:header="1432" w:footer="840" w:top="2040" w:bottom="104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380005pt;margin-top:786.981812pt;width:18.25pt;height:14.35pt;mso-position-horizontal-relative:page;mso-position-vertical-relative:page;z-index:-252994560" type="#_x0000_t202" filled="false" stroked="false">
          <v:textbox inset="0,0,0,0">
            <w:txbxContent>
              <w:p>
                <w:pPr>
                  <w:pStyle w:val="BodyText"/>
                  <w:spacing w:before="13"/>
                  <w:ind w:left="60"/>
                </w:pPr>
                <w:r>
                  <w:rPr/>
                  <w:fldChar w:fldCharType="begin"/>
                </w:r>
                <w:r>
                  <w:rPr/>
                  <w:instrText> PAGE </w:instrText>
                </w:r>
                <w:r>
                  <w:rPr/>
                  <w:fldChar w:fldCharType="separate"/>
                </w:r>
                <w:r>
                  <w:rPr/>
                  <w:t>73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318848">
          <wp:simplePos x="0" y="0"/>
          <wp:positionH relativeFrom="page">
            <wp:posOffset>5881115</wp:posOffset>
          </wp:positionH>
          <wp:positionV relativeFrom="page">
            <wp:posOffset>909104</wp:posOffset>
          </wp:positionV>
          <wp:extent cx="649300" cy="28861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49300" cy="288614"/>
                  </a:xfrm>
                  <a:prstGeom prst="rect">
                    <a:avLst/>
                  </a:prstGeom>
                </pic:spPr>
              </pic:pic>
            </a:graphicData>
          </a:graphic>
        </wp:anchor>
      </w:drawing>
    </w:r>
    <w:r>
      <w:rPr/>
      <w:pict>
        <v:group style="position:absolute;margin-left:70.223999pt;margin-top:101.540001pt;width:454.65pt;height:.5pt;mso-position-horizontal-relative:page;mso-position-vertical-relative:page;z-index:-252996608" coordorigin="1404,2031" coordsize="9093,10">
          <v:line style="position:absolute" from="1404,2036" to="8365,2036" stroked="true" strokeweight=".48pt" strokecolor="#000000">
            <v:stroke dashstyle="solid"/>
          </v:line>
          <v:rect style="position:absolute;left:8351;top:2030;width:10;height:10" filled="true" fillcolor="#000000" stroked="false">
            <v:fill type="solid"/>
          </v:rect>
          <v:line style="position:absolute" from="8361,2036" to="10497,2036"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75.344002pt;margin-top:84.832542pt;width:249.65pt;height:12.1pt;mso-position-horizontal-relative:page;mso-position-vertical-relative:page;z-index:-252995584" type="#_x0000_t202" filled="false" stroked="false">
          <v:textbox inset="0,0,0,0">
            <w:txbxContent>
              <w:p>
                <w:pPr>
                  <w:spacing w:before="14"/>
                  <w:ind w:left="20" w:right="0" w:firstLine="0"/>
                  <w:jc w:val="left"/>
                  <w:rPr>
                    <w:sz w:val="18"/>
                  </w:rPr>
                </w:pPr>
                <w:r>
                  <w:rPr>
                    <w:sz w:val="18"/>
                  </w:rPr>
                  <w:t>Zeitschrift für ökonomische Bildung Heft Nr. 01/2013, S. 73-89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50" w:hanging="432"/>
        <w:jc w:val="left"/>
      </w:pPr>
      <w:rPr>
        <w:rFonts w:hint="default" w:ascii="Arial" w:hAnsi="Arial" w:eastAsia="Arial" w:cs="Arial"/>
        <w:b/>
        <w:bCs/>
        <w:w w:val="99"/>
        <w:sz w:val="26"/>
        <w:szCs w:val="26"/>
        <w:lang w:val="de-DE" w:eastAsia="de-DE" w:bidi="de-DE"/>
      </w:rPr>
    </w:lvl>
    <w:lvl w:ilvl="1">
      <w:start w:val="0"/>
      <w:numFmt w:val="bullet"/>
      <w:lvlText w:val="•"/>
      <w:lvlJc w:val="left"/>
      <w:pPr>
        <w:ind w:left="1544" w:hanging="432"/>
      </w:pPr>
      <w:rPr>
        <w:rFonts w:hint="default"/>
        <w:lang w:val="de-DE" w:eastAsia="de-DE" w:bidi="de-DE"/>
      </w:rPr>
    </w:lvl>
    <w:lvl w:ilvl="2">
      <w:start w:val="0"/>
      <w:numFmt w:val="bullet"/>
      <w:lvlText w:val="•"/>
      <w:lvlJc w:val="left"/>
      <w:pPr>
        <w:ind w:left="2428" w:hanging="432"/>
      </w:pPr>
      <w:rPr>
        <w:rFonts w:hint="default"/>
        <w:lang w:val="de-DE" w:eastAsia="de-DE" w:bidi="de-DE"/>
      </w:rPr>
    </w:lvl>
    <w:lvl w:ilvl="3">
      <w:start w:val="0"/>
      <w:numFmt w:val="bullet"/>
      <w:lvlText w:val="•"/>
      <w:lvlJc w:val="left"/>
      <w:pPr>
        <w:ind w:left="3312" w:hanging="432"/>
      </w:pPr>
      <w:rPr>
        <w:rFonts w:hint="default"/>
        <w:lang w:val="de-DE" w:eastAsia="de-DE" w:bidi="de-DE"/>
      </w:rPr>
    </w:lvl>
    <w:lvl w:ilvl="4">
      <w:start w:val="0"/>
      <w:numFmt w:val="bullet"/>
      <w:lvlText w:val="•"/>
      <w:lvlJc w:val="left"/>
      <w:pPr>
        <w:ind w:left="4196" w:hanging="432"/>
      </w:pPr>
      <w:rPr>
        <w:rFonts w:hint="default"/>
        <w:lang w:val="de-DE" w:eastAsia="de-DE" w:bidi="de-DE"/>
      </w:rPr>
    </w:lvl>
    <w:lvl w:ilvl="5">
      <w:start w:val="0"/>
      <w:numFmt w:val="bullet"/>
      <w:lvlText w:val="•"/>
      <w:lvlJc w:val="left"/>
      <w:pPr>
        <w:ind w:left="5080" w:hanging="432"/>
      </w:pPr>
      <w:rPr>
        <w:rFonts w:hint="default"/>
        <w:lang w:val="de-DE" w:eastAsia="de-DE" w:bidi="de-DE"/>
      </w:rPr>
    </w:lvl>
    <w:lvl w:ilvl="6">
      <w:start w:val="0"/>
      <w:numFmt w:val="bullet"/>
      <w:lvlText w:val="•"/>
      <w:lvlJc w:val="left"/>
      <w:pPr>
        <w:ind w:left="5964" w:hanging="432"/>
      </w:pPr>
      <w:rPr>
        <w:rFonts w:hint="default"/>
        <w:lang w:val="de-DE" w:eastAsia="de-DE" w:bidi="de-DE"/>
      </w:rPr>
    </w:lvl>
    <w:lvl w:ilvl="7">
      <w:start w:val="0"/>
      <w:numFmt w:val="bullet"/>
      <w:lvlText w:val="•"/>
      <w:lvlJc w:val="left"/>
      <w:pPr>
        <w:ind w:left="6848" w:hanging="432"/>
      </w:pPr>
      <w:rPr>
        <w:rFonts w:hint="default"/>
        <w:lang w:val="de-DE" w:eastAsia="de-DE" w:bidi="de-DE"/>
      </w:rPr>
    </w:lvl>
    <w:lvl w:ilvl="8">
      <w:start w:val="0"/>
      <w:numFmt w:val="bullet"/>
      <w:lvlText w:val="•"/>
      <w:lvlJc w:val="left"/>
      <w:pPr>
        <w:ind w:left="7732" w:hanging="432"/>
      </w:pPr>
      <w:rPr>
        <w:rFonts w:hint="default"/>
        <w:lang w:val="de-DE" w:eastAsia="de-DE" w:bidi="de-D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de-DE" w:eastAsia="de-DE" w:bidi="de-DE"/>
    </w:rPr>
  </w:style>
  <w:style w:styleId="BodyText" w:type="paragraph">
    <w:name w:val="Body Text"/>
    <w:basedOn w:val="Normal"/>
    <w:uiPriority w:val="1"/>
    <w:qFormat/>
    <w:pPr/>
    <w:rPr>
      <w:rFonts w:ascii="Arial" w:hAnsi="Arial" w:eastAsia="Arial" w:cs="Arial"/>
      <w:sz w:val="22"/>
      <w:szCs w:val="22"/>
      <w:lang w:val="de-DE" w:eastAsia="de-DE" w:bidi="de-DE"/>
    </w:rPr>
  </w:style>
  <w:style w:styleId="Heading1" w:type="paragraph">
    <w:name w:val="Heading 1"/>
    <w:basedOn w:val="Normal"/>
    <w:uiPriority w:val="1"/>
    <w:qFormat/>
    <w:pPr>
      <w:ind w:left="650" w:hanging="433"/>
      <w:jc w:val="both"/>
      <w:outlineLvl w:val="1"/>
    </w:pPr>
    <w:rPr>
      <w:rFonts w:ascii="Arial" w:hAnsi="Arial" w:eastAsia="Arial" w:cs="Arial"/>
      <w:b/>
      <w:bCs/>
      <w:sz w:val="26"/>
      <w:szCs w:val="26"/>
      <w:lang w:val="de-DE" w:eastAsia="de-DE" w:bidi="de-DE"/>
    </w:rPr>
  </w:style>
  <w:style w:styleId="ListParagraph" w:type="paragraph">
    <w:name w:val="List Paragraph"/>
    <w:basedOn w:val="Normal"/>
    <w:uiPriority w:val="1"/>
    <w:qFormat/>
    <w:pPr>
      <w:ind w:left="650" w:hanging="433"/>
      <w:jc w:val="both"/>
    </w:pPr>
    <w:rPr>
      <w:rFonts w:ascii="Arial" w:hAnsi="Arial" w:eastAsia="Arial" w:cs="Arial"/>
      <w:lang w:val="de-DE" w:eastAsia="de-DE" w:bidi="de-DE"/>
    </w:rPr>
  </w:style>
  <w:style w:styleId="TableParagraph" w:type="paragraph">
    <w:name w:val="Table Paragraph"/>
    <w:basedOn w:val="Normal"/>
    <w:uiPriority w:val="1"/>
    <w:qFormat/>
    <w:pPr/>
    <w:rPr>
      <w:rFonts w:ascii="Arial" w:hAnsi="Arial" w:eastAsia="Arial" w:cs="Arial"/>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ideas.repec.org/" TargetMode="External"/><Relationship Id="rId8" Type="http://schemas.openxmlformats.org/officeDocument/2006/relationships/hyperlink" Target="http://hrsonline.isr.umich.edu/"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www.bwpat.de/ausgabe22/aprea_bwpat22.pdf" TargetMode="External"/><Relationship Id="rId30" Type="http://schemas.openxmlformats.org/officeDocument/2006/relationships/hyperlink" Target="http://www.mceetya.edu.au/verve/_resources/Financial_Literacy_Framework.pdf" TargetMode="External"/><Relationship Id="rId31" Type="http://schemas.openxmlformats.org/officeDocument/2006/relationships/hyperlink" Target="http://wiwi.uni-mainz.de/Dateien/DP_1202.pdf" TargetMode="External"/><Relationship Id="rId32" Type="http://schemas.openxmlformats.org/officeDocument/2006/relationships/hyperlink" Target="http://psychweb.psy.umt.edu/denis/datadecision/front/cortina_alpha.pdf" TargetMode="External"/><Relationship Id="rId33" Type="http://schemas.openxmlformats.org/officeDocument/2006/relationships/hyperlink" Target="http://driver-/" TargetMode="External"/><Relationship Id="rId34" Type="http://schemas.openxmlformats.org/officeDocument/2006/relationships/hyperlink" Target="http://www.fte.org/" TargetMode="External"/><Relationship Id="rId35" Type="http://schemas.openxmlformats.org/officeDocument/2006/relationships/hyperlink" Target="http://www.sowi-online.de/reader/oekonomie/dgb_bda.htm" TargetMode="External"/><Relationship Id="rId36" Type="http://schemas.openxmlformats.org/officeDocument/2006/relationships/hyperlink" Target="http://www.handelsblatt.com/finanzen/vorsorge/viele-deutsche-sind-finanz-" TargetMode="External"/><Relationship Id="rId37" Type="http://schemas.openxmlformats.org/officeDocument/2006/relationships/hyperlink" Target="http://www.ioeb.de/sites/default/files/img/Arbeitspapier_Finanzielle%20Allgemeinbildung" TargetMode="External"/><Relationship Id="rId38" Type="http://schemas.openxmlformats.org/officeDocument/2006/relationships/hyperlink" Target="http://www.nber.org/papers/w17107" TargetMode="External"/><Relationship Id="rId39" Type="http://schemas.openxmlformats.org/officeDocument/2006/relationships/hyperlink" Target="http://www.jsse.org/2011/2011-3/pdf/schuhen-macha-jsse-3-2011.pdf" TargetMode="External"/><Relationship Id="rId40" Type="http://schemas.openxmlformats.org/officeDocument/2006/relationships/hyperlink" Target="http://dokumentix.ub.uni-/" TargetMode="External"/><Relationship Id="rId41" Type="http://schemas.openxmlformats.org/officeDocument/2006/relationships/hyperlink" Target="http://www.jumpstart.org/assets/files/2008SurveyBook.pdf" TargetMode="External"/><Relationship Id="rId42" Type="http://schemas.openxmlformats.org/officeDocument/2006/relationships/hyperlink" Target="http://www.ncee.net/" TargetMode="External"/><Relationship Id="rId43" Type="http://schemas.openxmlformats.org/officeDocument/2006/relationships/hyperlink" Target="http://www.paed.unizh.ch/ap/downloads/oelkers/Vortraege/088_Wartensee.pdf" TargetMode="External"/><Relationship Id="rId44" Type="http://schemas.openxmlformats.org/officeDocument/2006/relationships/hyperlink" Target="http://www.aeaweb.org/" TargetMode="External"/><Relationship Id="rId45" Type="http://schemas.openxmlformats.org/officeDocument/2006/relationships/hyperlink" Target="http://www.welt.de/print-" TargetMode="External"/><Relationship Id="rId4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dc:creator>
  <dcterms:created xsi:type="dcterms:W3CDTF">2020-07-08T16:19:00Z</dcterms:created>
  <dcterms:modified xsi:type="dcterms:W3CDTF">2020-07-08T16:19:00Z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Microsoft® Office Word 2007</vt:lpwstr>
  </property>
  <property fmtid="{D5CDD505-2E9C-101B-9397-08002B2CF9AE}" pid="4" name="LastSaved">
    <vt:filetime>2020-07-08T00:00:00Z</vt:filetime>
  </property>
</Properties>
</file>