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653"/>
        <w:gridCol w:w="3341"/>
      </w:tblGrid>
      <w:tr w:rsidR="00FC7FD3" w:rsidRPr="003B633D" w14:paraId="61BEB5C2" w14:textId="77777777" w:rsidTr="003B633D">
        <w:trPr>
          <w:jc w:val="right"/>
        </w:trPr>
        <w:tc>
          <w:tcPr>
            <w:tcW w:w="85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DCCD59" w14:textId="2E3F6A2C" w:rsidR="00FC7FD3" w:rsidRPr="003B633D" w:rsidRDefault="00FC7FD3" w:rsidP="00FC7FD3">
            <w:pPr>
              <w:bidi w:val="0"/>
              <w:rPr>
                <w:rFonts w:ascii="CMU Serif" w:hAnsi="CMU Serif" w:cs="CMU Serif"/>
              </w:rPr>
            </w:pPr>
            <w:r w:rsidRPr="003B633D">
              <w:rPr>
                <w:rFonts w:ascii="CMU Serif" w:hAnsi="CMU Serif" w:cs="CMU Serif"/>
              </w:rPr>
              <w:t xml:space="preserve">Table </w:t>
            </w:r>
            <w:r w:rsidR="003B633D" w:rsidRPr="003B633D">
              <w:rPr>
                <w:rFonts w:ascii="CMU Serif" w:hAnsi="CMU Serif" w:cs="CMU Serif"/>
              </w:rPr>
              <w:t>4</w:t>
            </w:r>
            <w:r w:rsidRPr="003B633D">
              <w:rPr>
                <w:rFonts w:ascii="CMU Serif" w:hAnsi="CMU Serif" w:cs="CMU Serif"/>
              </w:rPr>
              <w:t>: Distribution of tasks by targeted process and text type</w:t>
            </w:r>
          </w:p>
        </w:tc>
      </w:tr>
      <w:tr w:rsidR="00FC7FD3" w:rsidRPr="003B633D" w14:paraId="795AF41D" w14:textId="77777777" w:rsidTr="003B633D">
        <w:trPr>
          <w:jc w:val="right"/>
        </w:trPr>
        <w:tc>
          <w:tcPr>
            <w:tcW w:w="4528" w:type="dxa"/>
            <w:tcBorders>
              <w:top w:val="single" w:sz="4" w:space="0" w:color="auto"/>
            </w:tcBorders>
          </w:tcPr>
          <w:p w14:paraId="550DB5D1" w14:textId="15A81134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Multiple Text</w:t>
            </w:r>
          </w:p>
        </w:tc>
        <w:tc>
          <w:tcPr>
            <w:tcW w:w="3994" w:type="dxa"/>
            <w:gridSpan w:val="2"/>
            <w:tcBorders>
              <w:top w:val="single" w:sz="4" w:space="0" w:color="auto"/>
            </w:tcBorders>
          </w:tcPr>
          <w:p w14:paraId="0A04E893" w14:textId="748E0AD4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Single Text</w:t>
            </w:r>
          </w:p>
        </w:tc>
      </w:tr>
      <w:tr w:rsidR="00FC7FD3" w:rsidRPr="003B633D" w14:paraId="30F039EC" w14:textId="77777777" w:rsidTr="003B633D">
        <w:trPr>
          <w:jc w:val="right"/>
        </w:trPr>
        <w:tc>
          <w:tcPr>
            <w:tcW w:w="4528" w:type="dxa"/>
          </w:tcPr>
          <w:p w14:paraId="3153FCE3" w14:textId="13F435E1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Searching and selecting relevant text 10%</w:t>
            </w:r>
          </w:p>
        </w:tc>
        <w:tc>
          <w:tcPr>
            <w:tcW w:w="3994" w:type="dxa"/>
            <w:gridSpan w:val="2"/>
          </w:tcPr>
          <w:p w14:paraId="7E197025" w14:textId="2B387C4B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Scanning and locating 15%</w:t>
            </w:r>
          </w:p>
        </w:tc>
      </w:tr>
      <w:tr w:rsidR="00FC7FD3" w:rsidRPr="003B633D" w14:paraId="129B192A" w14:textId="77777777" w:rsidTr="003B633D">
        <w:trPr>
          <w:jc w:val="right"/>
        </w:trPr>
        <w:tc>
          <w:tcPr>
            <w:tcW w:w="4528" w:type="dxa"/>
          </w:tcPr>
          <w:p w14:paraId="0AEADD97" w14:textId="4546D9EF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Multiple-text inferential comprehension 15%</w:t>
            </w:r>
          </w:p>
        </w:tc>
        <w:tc>
          <w:tcPr>
            <w:tcW w:w="3994" w:type="dxa"/>
            <w:gridSpan w:val="2"/>
          </w:tcPr>
          <w:p w14:paraId="6F43AEF0" w14:textId="767BC34A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Literal comprehension 15%</w:t>
            </w:r>
          </w:p>
        </w:tc>
      </w:tr>
      <w:tr w:rsidR="00FC7FD3" w:rsidRPr="003B633D" w14:paraId="7BE111B2" w14:textId="77777777" w:rsidTr="003B633D">
        <w:trPr>
          <w:jc w:val="right"/>
        </w:trPr>
        <w:tc>
          <w:tcPr>
            <w:tcW w:w="4528" w:type="dxa"/>
          </w:tcPr>
          <w:p w14:paraId="632109FE" w14:textId="458F1F21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Corroborating/handling conflict 10%</w:t>
            </w:r>
          </w:p>
        </w:tc>
        <w:tc>
          <w:tcPr>
            <w:tcW w:w="3994" w:type="dxa"/>
            <w:gridSpan w:val="2"/>
          </w:tcPr>
          <w:p w14:paraId="058935C9" w14:textId="50782365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Inferential comprehension 15%</w:t>
            </w:r>
          </w:p>
        </w:tc>
      </w:tr>
      <w:tr w:rsidR="00FC7FD3" w:rsidRPr="003B633D" w14:paraId="4F590FF4" w14:textId="77777777" w:rsidTr="003B633D">
        <w:trPr>
          <w:jc w:val="right"/>
        </w:trPr>
        <w:tc>
          <w:tcPr>
            <w:tcW w:w="4528" w:type="dxa"/>
          </w:tcPr>
          <w:p w14:paraId="0470C3EB" w14:textId="77777777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</w:p>
        </w:tc>
        <w:tc>
          <w:tcPr>
            <w:tcW w:w="653" w:type="dxa"/>
            <w:vMerge w:val="restart"/>
            <w:vAlign w:val="center"/>
          </w:tcPr>
          <w:p w14:paraId="54F43FD8" w14:textId="6623ED4A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20%</w:t>
            </w:r>
          </w:p>
        </w:tc>
        <w:tc>
          <w:tcPr>
            <w:tcW w:w="3341" w:type="dxa"/>
          </w:tcPr>
          <w:p w14:paraId="7518B15C" w14:textId="3A21D8DA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Assessing quality and credibility</w:t>
            </w:r>
          </w:p>
        </w:tc>
      </w:tr>
      <w:tr w:rsidR="00FC7FD3" w:rsidRPr="003B633D" w14:paraId="597C9E76" w14:textId="77777777" w:rsidTr="003B633D">
        <w:trPr>
          <w:jc w:val="right"/>
        </w:trPr>
        <w:tc>
          <w:tcPr>
            <w:tcW w:w="4528" w:type="dxa"/>
            <w:tcBorders>
              <w:bottom w:val="single" w:sz="4" w:space="0" w:color="auto"/>
            </w:tcBorders>
          </w:tcPr>
          <w:p w14:paraId="26C5F575" w14:textId="77777777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</w:p>
        </w:tc>
        <w:tc>
          <w:tcPr>
            <w:tcW w:w="653" w:type="dxa"/>
            <w:vMerge/>
            <w:tcBorders>
              <w:bottom w:val="single" w:sz="4" w:space="0" w:color="auto"/>
            </w:tcBorders>
          </w:tcPr>
          <w:p w14:paraId="162723F4" w14:textId="520CA337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13665FF9" w14:textId="49DE4D8C" w:rsidR="00FC7FD3" w:rsidRPr="003B633D" w:rsidRDefault="00FC7FD3" w:rsidP="00FC7FD3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Reflecting on content and form</w:t>
            </w:r>
          </w:p>
        </w:tc>
      </w:tr>
    </w:tbl>
    <w:p w14:paraId="02BBA2F4" w14:textId="1127DF89" w:rsidR="00CB5B1C" w:rsidRDefault="00CB5B1C"/>
    <w:p w14:paraId="672E5D7A" w14:textId="78C4F798" w:rsidR="00702426" w:rsidRDefault="00702426"/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3B633D" w:rsidRPr="003B633D" w14:paraId="3C14F192" w14:textId="77777777" w:rsidTr="003B633D">
        <w:trPr>
          <w:jc w:val="right"/>
        </w:trPr>
        <w:tc>
          <w:tcPr>
            <w:tcW w:w="85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923556" w14:textId="02A1D0FB" w:rsidR="003B633D" w:rsidRPr="003B633D" w:rsidRDefault="003B633D" w:rsidP="00702426">
            <w:pPr>
              <w:bidi w:val="0"/>
              <w:rPr>
                <w:rFonts w:ascii="CMU Serif" w:hAnsi="CMU Serif" w:cs="CMU Serif"/>
              </w:rPr>
            </w:pPr>
            <w:r w:rsidRPr="003B633D">
              <w:rPr>
                <w:rFonts w:ascii="CMU Serif" w:hAnsi="CMU Serif" w:cs="CMU Serif"/>
              </w:rPr>
              <w:t>Table 3: Mapping Reading Framework</w:t>
            </w:r>
          </w:p>
        </w:tc>
      </w:tr>
      <w:tr w:rsidR="00702426" w:rsidRPr="003B633D" w14:paraId="6E079AD6" w14:textId="77777777" w:rsidTr="003B633D">
        <w:trPr>
          <w:jc w:val="right"/>
        </w:trPr>
        <w:tc>
          <w:tcPr>
            <w:tcW w:w="4261" w:type="dxa"/>
            <w:tcBorders>
              <w:top w:val="single" w:sz="4" w:space="0" w:color="auto"/>
            </w:tcBorders>
          </w:tcPr>
          <w:p w14:paraId="1EB36E2B" w14:textId="0662B56C" w:rsidR="00702426" w:rsidRPr="003B633D" w:rsidRDefault="00702426" w:rsidP="00702426">
            <w:pPr>
              <w:bidi w:val="0"/>
              <w:rPr>
                <w:rFonts w:ascii="CMU Serif" w:hAnsi="CMU Serif" w:cs="CMU Serif"/>
              </w:rPr>
            </w:pPr>
            <w:r w:rsidRPr="003B633D">
              <w:rPr>
                <w:rFonts w:ascii="CMU Serif" w:hAnsi="CMU Serif" w:cs="CMU Serif"/>
              </w:rPr>
              <w:t xml:space="preserve">Category of scaling </w:t>
            </w:r>
          </w:p>
        </w:tc>
        <w:tc>
          <w:tcPr>
            <w:tcW w:w="4261" w:type="dxa"/>
            <w:tcBorders>
              <w:top w:val="single" w:sz="4" w:space="0" w:color="auto"/>
            </w:tcBorders>
          </w:tcPr>
          <w:p w14:paraId="64961DF1" w14:textId="13D6B52C" w:rsidR="00702426" w:rsidRPr="003B633D" w:rsidRDefault="00702426" w:rsidP="00702426">
            <w:pPr>
              <w:bidi w:val="0"/>
              <w:rPr>
                <w:rFonts w:ascii="CMU Serif" w:hAnsi="CMU Serif" w:cs="CMU Serif"/>
              </w:rPr>
            </w:pPr>
            <w:r w:rsidRPr="003B633D">
              <w:rPr>
                <w:rFonts w:ascii="CMU Serif" w:hAnsi="CMU Serif" w:cs="CMU Serif"/>
              </w:rPr>
              <w:t>Cognitive processes</w:t>
            </w:r>
          </w:p>
        </w:tc>
      </w:tr>
      <w:tr w:rsidR="00702426" w:rsidRPr="003B633D" w14:paraId="6661443A" w14:textId="77777777" w:rsidTr="003B633D">
        <w:trPr>
          <w:jc w:val="right"/>
        </w:trPr>
        <w:tc>
          <w:tcPr>
            <w:tcW w:w="4261" w:type="dxa"/>
          </w:tcPr>
          <w:p w14:paraId="797373FC" w14:textId="7D8B0633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Reported on PISA scale</w:t>
            </w:r>
          </w:p>
        </w:tc>
        <w:tc>
          <w:tcPr>
            <w:tcW w:w="4261" w:type="dxa"/>
          </w:tcPr>
          <w:p w14:paraId="5D3571F2" w14:textId="2231E7C0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Reading fluently</w:t>
            </w:r>
          </w:p>
        </w:tc>
      </w:tr>
      <w:tr w:rsidR="00702426" w:rsidRPr="003B633D" w14:paraId="69E75E4F" w14:textId="77777777" w:rsidTr="003B633D">
        <w:trPr>
          <w:jc w:val="right"/>
        </w:trPr>
        <w:tc>
          <w:tcPr>
            <w:tcW w:w="4261" w:type="dxa"/>
            <w:vMerge w:val="restart"/>
            <w:vAlign w:val="center"/>
          </w:tcPr>
          <w:p w14:paraId="3C8353D1" w14:textId="720B595F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Locating information</w:t>
            </w:r>
          </w:p>
        </w:tc>
        <w:tc>
          <w:tcPr>
            <w:tcW w:w="4261" w:type="dxa"/>
          </w:tcPr>
          <w:p w14:paraId="15333E3D" w14:textId="14036079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Accessing and retrieving information within a text</w:t>
            </w:r>
          </w:p>
        </w:tc>
      </w:tr>
      <w:tr w:rsidR="00702426" w:rsidRPr="003B633D" w14:paraId="17E139C3" w14:textId="77777777" w:rsidTr="003B633D">
        <w:trPr>
          <w:jc w:val="right"/>
        </w:trPr>
        <w:tc>
          <w:tcPr>
            <w:tcW w:w="4261" w:type="dxa"/>
            <w:vMerge/>
            <w:vAlign w:val="center"/>
          </w:tcPr>
          <w:p w14:paraId="6C19E6B8" w14:textId="77777777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</w:p>
        </w:tc>
        <w:tc>
          <w:tcPr>
            <w:tcW w:w="4261" w:type="dxa"/>
          </w:tcPr>
          <w:p w14:paraId="38B521DF" w14:textId="5BBD011F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Searching for and selecting relevant text</w:t>
            </w:r>
          </w:p>
        </w:tc>
      </w:tr>
      <w:tr w:rsidR="00702426" w:rsidRPr="003B633D" w14:paraId="6381FEF5" w14:textId="77777777" w:rsidTr="003B633D">
        <w:trPr>
          <w:jc w:val="right"/>
        </w:trPr>
        <w:tc>
          <w:tcPr>
            <w:tcW w:w="4261" w:type="dxa"/>
            <w:vMerge w:val="restart"/>
            <w:vAlign w:val="center"/>
          </w:tcPr>
          <w:p w14:paraId="3671A7D6" w14:textId="75EF6020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Understanding</w:t>
            </w:r>
          </w:p>
        </w:tc>
        <w:tc>
          <w:tcPr>
            <w:tcW w:w="4261" w:type="dxa"/>
          </w:tcPr>
          <w:p w14:paraId="414086D9" w14:textId="4D511C7F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Representing literal meaning</w:t>
            </w:r>
          </w:p>
        </w:tc>
      </w:tr>
      <w:tr w:rsidR="00702426" w:rsidRPr="003B633D" w14:paraId="07D485DB" w14:textId="77777777" w:rsidTr="003B633D">
        <w:trPr>
          <w:jc w:val="right"/>
        </w:trPr>
        <w:tc>
          <w:tcPr>
            <w:tcW w:w="4261" w:type="dxa"/>
            <w:vMerge/>
            <w:vAlign w:val="center"/>
          </w:tcPr>
          <w:p w14:paraId="0D1EEBD4" w14:textId="77777777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</w:p>
        </w:tc>
        <w:tc>
          <w:tcPr>
            <w:tcW w:w="4261" w:type="dxa"/>
          </w:tcPr>
          <w:p w14:paraId="7649C9ED" w14:textId="07932D22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Integrating and generating inferences</w:t>
            </w:r>
          </w:p>
        </w:tc>
      </w:tr>
      <w:tr w:rsidR="00702426" w:rsidRPr="003B633D" w14:paraId="259F12AB" w14:textId="77777777" w:rsidTr="003B633D">
        <w:trPr>
          <w:jc w:val="right"/>
        </w:trPr>
        <w:tc>
          <w:tcPr>
            <w:tcW w:w="4261" w:type="dxa"/>
            <w:vMerge w:val="restart"/>
            <w:tcBorders>
              <w:bottom w:val="single" w:sz="4" w:space="0" w:color="auto"/>
            </w:tcBorders>
            <w:vAlign w:val="center"/>
          </w:tcPr>
          <w:p w14:paraId="7F1FE6AA" w14:textId="227F9EA4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Evaluating and reflecting</w:t>
            </w:r>
          </w:p>
        </w:tc>
        <w:tc>
          <w:tcPr>
            <w:tcW w:w="4261" w:type="dxa"/>
          </w:tcPr>
          <w:p w14:paraId="05E10C3C" w14:textId="03570076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Assessing quality and credibility</w:t>
            </w:r>
          </w:p>
        </w:tc>
      </w:tr>
      <w:tr w:rsidR="00702426" w:rsidRPr="003B633D" w14:paraId="7ACFBC90" w14:textId="77777777" w:rsidTr="003B633D">
        <w:trPr>
          <w:jc w:val="right"/>
        </w:trPr>
        <w:tc>
          <w:tcPr>
            <w:tcW w:w="4261" w:type="dxa"/>
            <w:vMerge/>
            <w:tcBorders>
              <w:bottom w:val="single" w:sz="4" w:space="0" w:color="auto"/>
            </w:tcBorders>
          </w:tcPr>
          <w:p w14:paraId="629BFECA" w14:textId="03A31595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</w:p>
        </w:tc>
        <w:tc>
          <w:tcPr>
            <w:tcW w:w="4261" w:type="dxa"/>
          </w:tcPr>
          <w:p w14:paraId="158A6EF7" w14:textId="37A71F72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Reflecting on content and form</w:t>
            </w:r>
          </w:p>
        </w:tc>
      </w:tr>
      <w:tr w:rsidR="00702426" w:rsidRPr="003B633D" w14:paraId="5E5B1F12" w14:textId="77777777" w:rsidTr="003B633D">
        <w:trPr>
          <w:jc w:val="right"/>
        </w:trPr>
        <w:tc>
          <w:tcPr>
            <w:tcW w:w="4261" w:type="dxa"/>
            <w:vMerge/>
            <w:tcBorders>
              <w:bottom w:val="single" w:sz="4" w:space="0" w:color="auto"/>
            </w:tcBorders>
          </w:tcPr>
          <w:p w14:paraId="0E81E16B" w14:textId="77777777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27B17826" w14:textId="39522D54" w:rsidR="00702426" w:rsidRPr="003B633D" w:rsidRDefault="00702426" w:rsidP="00702426">
            <w:pPr>
              <w:bidi w:val="0"/>
              <w:rPr>
                <w:rFonts w:ascii="CMU Serif" w:hAnsi="CMU Serif" w:cs="CMU Serif"/>
                <w:rtl/>
              </w:rPr>
            </w:pPr>
            <w:r w:rsidRPr="003B633D">
              <w:rPr>
                <w:rFonts w:ascii="CMU Serif" w:hAnsi="CMU Serif" w:cs="CMU Serif"/>
              </w:rPr>
              <w:t>Detecting and handling conflict</w:t>
            </w:r>
          </w:p>
        </w:tc>
      </w:tr>
    </w:tbl>
    <w:p w14:paraId="375B8019" w14:textId="77777777" w:rsidR="00702426" w:rsidRDefault="00702426"/>
    <w:sectPr w:rsidR="00702426" w:rsidSect="002D17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5B5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28E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7083"/>
    <w:rsid w:val="00197A7C"/>
    <w:rsid w:val="001A054B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4313"/>
    <w:rsid w:val="00210B73"/>
    <w:rsid w:val="00212E3F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2F3190"/>
    <w:rsid w:val="00304C97"/>
    <w:rsid w:val="00305E21"/>
    <w:rsid w:val="00310BA7"/>
    <w:rsid w:val="00311814"/>
    <w:rsid w:val="0031277B"/>
    <w:rsid w:val="003214B0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A036A"/>
    <w:rsid w:val="003B251F"/>
    <w:rsid w:val="003B3342"/>
    <w:rsid w:val="003B4BC1"/>
    <w:rsid w:val="003B633D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5F47"/>
    <w:rsid w:val="00435D15"/>
    <w:rsid w:val="00435E4A"/>
    <w:rsid w:val="00436ED0"/>
    <w:rsid w:val="00443C6A"/>
    <w:rsid w:val="0044413A"/>
    <w:rsid w:val="00451432"/>
    <w:rsid w:val="00452B41"/>
    <w:rsid w:val="004533CF"/>
    <w:rsid w:val="0046242A"/>
    <w:rsid w:val="00470676"/>
    <w:rsid w:val="00473D41"/>
    <w:rsid w:val="00475A93"/>
    <w:rsid w:val="00477162"/>
    <w:rsid w:val="004843C6"/>
    <w:rsid w:val="00485F13"/>
    <w:rsid w:val="00492A42"/>
    <w:rsid w:val="00493B44"/>
    <w:rsid w:val="004A3B8D"/>
    <w:rsid w:val="004B3409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1888"/>
    <w:rsid w:val="00586D84"/>
    <w:rsid w:val="00594F27"/>
    <w:rsid w:val="005A1944"/>
    <w:rsid w:val="005A2450"/>
    <w:rsid w:val="005A5C1D"/>
    <w:rsid w:val="005A6D33"/>
    <w:rsid w:val="005A7E65"/>
    <w:rsid w:val="005B17A6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655B5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45A9"/>
    <w:rsid w:val="006C6397"/>
    <w:rsid w:val="006C6998"/>
    <w:rsid w:val="006C7D0A"/>
    <w:rsid w:val="006D0D81"/>
    <w:rsid w:val="006D104C"/>
    <w:rsid w:val="006E5502"/>
    <w:rsid w:val="006E6A44"/>
    <w:rsid w:val="006E6AFA"/>
    <w:rsid w:val="006F23EA"/>
    <w:rsid w:val="006F37A4"/>
    <w:rsid w:val="00700BE8"/>
    <w:rsid w:val="00702426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25C5"/>
    <w:rsid w:val="007623C9"/>
    <w:rsid w:val="00765089"/>
    <w:rsid w:val="00773D75"/>
    <w:rsid w:val="00781817"/>
    <w:rsid w:val="00781A07"/>
    <w:rsid w:val="0078441A"/>
    <w:rsid w:val="00793F28"/>
    <w:rsid w:val="007A06EA"/>
    <w:rsid w:val="007A0F20"/>
    <w:rsid w:val="007A5766"/>
    <w:rsid w:val="007A6FC6"/>
    <w:rsid w:val="007B19F8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D2B95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51A3"/>
    <w:rsid w:val="00960EB4"/>
    <w:rsid w:val="0096121A"/>
    <w:rsid w:val="00963FF4"/>
    <w:rsid w:val="009660D1"/>
    <w:rsid w:val="00973F4B"/>
    <w:rsid w:val="00983D89"/>
    <w:rsid w:val="009843DA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4860"/>
    <w:rsid w:val="00A37A3D"/>
    <w:rsid w:val="00A40401"/>
    <w:rsid w:val="00A413D8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1AA3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C4B"/>
    <w:rsid w:val="00E53CC1"/>
    <w:rsid w:val="00E63A12"/>
    <w:rsid w:val="00E647C3"/>
    <w:rsid w:val="00E6551D"/>
    <w:rsid w:val="00E70DF1"/>
    <w:rsid w:val="00E8391D"/>
    <w:rsid w:val="00E84366"/>
    <w:rsid w:val="00EA0D6F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64957"/>
    <w:rsid w:val="00F712BF"/>
    <w:rsid w:val="00F724E7"/>
    <w:rsid w:val="00F726DE"/>
    <w:rsid w:val="00F75BD7"/>
    <w:rsid w:val="00F82101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C7FD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9D83"/>
  <w15:chartTrackingRefBased/>
  <w15:docId w15:val="{6E510132-F084-4186-BB45-D0E998DA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3</cp:revision>
  <dcterms:created xsi:type="dcterms:W3CDTF">2021-09-30T06:31:00Z</dcterms:created>
  <dcterms:modified xsi:type="dcterms:W3CDTF">2021-10-05T00:07:00Z</dcterms:modified>
</cp:coreProperties>
</file>