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5EEFA" w14:textId="4F0F3C4C" w:rsidR="005B4877" w:rsidRDefault="00EF64BD" w:rsidP="005B4877">
      <w:pPr>
        <w:spacing w:line="480" w:lineRule="auto"/>
        <w:ind w:left="720"/>
        <w:rPr>
          <w:rFonts w:ascii="CMU Serif" w:hAnsi="CMU Serif" w:cs="CMU Serif"/>
          <w:b/>
          <w:bCs/>
          <w:sz w:val="32"/>
          <w:szCs w:val="32"/>
        </w:rPr>
      </w:pPr>
      <w:r>
        <w:rPr>
          <w:rFonts w:ascii="CMU Serif" w:hAnsi="CMU Serif" w:cs="CMU Serif"/>
          <w:b/>
          <w:bCs/>
          <w:sz w:val="32"/>
          <w:szCs w:val="32"/>
        </w:rPr>
        <w:t xml:space="preserve">Chapter 4: </w:t>
      </w:r>
      <w:r w:rsidR="005B4877" w:rsidRPr="005B4877">
        <w:rPr>
          <w:rFonts w:ascii="CMU Serif" w:hAnsi="CMU Serif" w:cs="CMU Serif"/>
          <w:b/>
          <w:bCs/>
          <w:sz w:val="32"/>
          <w:szCs w:val="32"/>
        </w:rPr>
        <w:t>Results</w:t>
      </w:r>
    </w:p>
    <w:p w14:paraId="472843FC" w14:textId="77777777" w:rsidR="00EF64BD" w:rsidRDefault="005B4877" w:rsidP="00EF64BD">
      <w:pPr>
        <w:numPr>
          <w:ilvl w:val="1"/>
          <w:numId w:val="7"/>
        </w:numPr>
        <w:spacing w:line="480" w:lineRule="auto"/>
        <w:rPr>
          <w:rFonts w:ascii="CMU Serif" w:hAnsi="CMU Serif" w:cs="CMU Serif"/>
          <w:b/>
          <w:bCs/>
          <w:sz w:val="28"/>
          <w:szCs w:val="28"/>
        </w:rPr>
      </w:pPr>
      <w:r w:rsidRPr="005B4877">
        <w:rPr>
          <w:rFonts w:ascii="CMU Serif" w:hAnsi="CMU Serif" w:cs="CMU Serif"/>
          <w:b/>
          <w:bCs/>
          <w:sz w:val="28"/>
          <w:szCs w:val="28"/>
        </w:rPr>
        <w:t>De</w:t>
      </w:r>
      <w:r>
        <w:rPr>
          <w:rFonts w:ascii="CMU Serif" w:hAnsi="CMU Serif" w:cs="CMU Serif"/>
          <w:b/>
          <w:bCs/>
          <w:sz w:val="28"/>
          <w:szCs w:val="28"/>
        </w:rPr>
        <w:t>scriptive Statistics and Correlation</w:t>
      </w:r>
    </w:p>
    <w:p w14:paraId="230DAC93" w14:textId="3A90D982" w:rsidR="006E52B5" w:rsidRPr="00EF64BD" w:rsidRDefault="00256AA1" w:rsidP="00EF64BD">
      <w:pPr>
        <w:spacing w:line="480" w:lineRule="auto"/>
        <w:ind w:firstLine="720"/>
        <w:rPr>
          <w:rFonts w:ascii="CMU Serif" w:hAnsi="CMU Serif" w:cs="CMU Serif"/>
          <w:b/>
          <w:bCs/>
          <w:sz w:val="28"/>
          <w:szCs w:val="28"/>
        </w:rPr>
      </w:pPr>
      <w:r w:rsidRPr="00EF64BD">
        <w:rPr>
          <w:rFonts w:ascii="CMU Serif" w:hAnsi="CMU Serif" w:cs="CMU Serif"/>
          <w:shd w:val="clear" w:color="auto" w:fill="FFC000" w:themeFill="accent4"/>
        </w:rPr>
        <w:t xml:space="preserve">Table </w:t>
      </w:r>
      <w:r w:rsidR="00EF64BD" w:rsidRPr="00EF64BD">
        <w:rPr>
          <w:rFonts w:ascii="CMU Serif" w:hAnsi="CMU Serif" w:cs="CMU Serif"/>
          <w:shd w:val="clear" w:color="auto" w:fill="FFC000" w:themeFill="accent4"/>
        </w:rPr>
        <w:t>2</w:t>
      </w:r>
      <w:r w:rsidRPr="00EF64BD">
        <w:rPr>
          <w:rFonts w:ascii="CMU Serif" w:hAnsi="CMU Serif" w:cs="CMU Serif"/>
        </w:rPr>
        <w:t xml:space="preserve"> shows </w:t>
      </w:r>
      <w:r w:rsidR="00842B79" w:rsidRPr="00EF64BD">
        <w:rPr>
          <w:rFonts w:ascii="CMU Serif" w:hAnsi="CMU Serif" w:cs="CMU Serif"/>
        </w:rPr>
        <w:t>all the variables’</w:t>
      </w:r>
      <w:r w:rsidRPr="00EF64BD">
        <w:rPr>
          <w:rFonts w:ascii="CMU Serif" w:hAnsi="CMU Serif" w:cs="CMU Serif"/>
        </w:rPr>
        <w:t xml:space="preserve"> univariate parameters of the population</w:t>
      </w:r>
      <w:r w:rsidR="00842B79" w:rsidRPr="00EF64BD">
        <w:rPr>
          <w:rFonts w:ascii="CMU Serif" w:hAnsi="CMU Serif" w:cs="CMU Serif"/>
        </w:rPr>
        <w:t>.</w:t>
      </w:r>
      <w:r w:rsidR="00EF64BD" w:rsidRPr="00EF64BD">
        <w:rPr>
          <w:rFonts w:ascii="CMU Serif" w:hAnsi="CMU Serif" w:cs="CMU Serif"/>
        </w:rPr>
        <w:t xml:space="preserve"> </w:t>
      </w:r>
      <w:r w:rsidR="00B86FDF" w:rsidRPr="00EF64BD">
        <w:rPr>
          <w:rFonts w:ascii="CMU Serif" w:hAnsi="CMU Serif" w:cs="CMU Serif"/>
        </w:rPr>
        <w:t>Glancing the table, the sample sizes are relatively proximate, also stands out that ICT variables are more homogeneous between Denmark and Sweden than Finland.</w:t>
      </w:r>
      <w:r w:rsidR="00EF64BD">
        <w:rPr>
          <w:rFonts w:ascii="CMU Serif" w:hAnsi="CMU Serif" w:cs="CMU Serif"/>
          <w:b/>
          <w:bCs/>
          <w:sz w:val="28"/>
          <w:szCs w:val="28"/>
        </w:rPr>
        <w:t xml:space="preserve"> </w:t>
      </w:r>
      <w:r w:rsidR="00D77954">
        <w:rPr>
          <w:rFonts w:ascii="CMU Serif" w:hAnsi="CMU Serif" w:cs="CMU Serif"/>
        </w:rPr>
        <w:t>All the three countries score above the international average of reading performance (</w:t>
      </w:r>
      <w:r w:rsidR="00D77954" w:rsidRPr="00D77954">
        <w:rPr>
          <w:rFonts w:ascii="CMU Serif" w:hAnsi="CMU Serif" w:cs="CMU Serif"/>
        </w:rPr>
        <w:t>453.4</w:t>
      </w:r>
      <w:r w:rsidR="00D77954">
        <w:rPr>
          <w:rFonts w:ascii="CMU Serif" w:hAnsi="CMU Serif" w:cs="CMU Serif"/>
        </w:rPr>
        <w:t xml:space="preserve">), </w:t>
      </w:r>
      <w:r w:rsidR="006E52B5">
        <w:rPr>
          <w:rFonts w:ascii="CMU Serif" w:hAnsi="CMU Serif" w:cs="CMU Serif"/>
        </w:rPr>
        <w:t>Finland comes first among</w:t>
      </w:r>
      <w:r w:rsidR="00BC4244">
        <w:rPr>
          <w:rFonts w:ascii="CMU Serif" w:hAnsi="CMU Serif" w:cs="CMU Serif"/>
        </w:rPr>
        <w:t>st</w:t>
      </w:r>
      <w:r w:rsidR="006E52B5">
        <w:rPr>
          <w:rFonts w:ascii="CMU Serif" w:hAnsi="CMU Serif" w:cs="CMU Serif"/>
        </w:rPr>
        <w:t xml:space="preserve"> the three, and second in Europe. </w:t>
      </w:r>
      <w:r w:rsidR="003F0827">
        <w:rPr>
          <w:rFonts w:ascii="CMU Serif" w:hAnsi="CMU Serif" w:cs="CMU Serif"/>
        </w:rPr>
        <w:t>As for the predictors, students in the three countries reported notably higher than the international average (0.02) use of ICT devices at school,</w:t>
      </w:r>
      <w:r w:rsidR="00632593">
        <w:rPr>
          <w:rFonts w:ascii="CMU Serif" w:hAnsi="CMU Serif" w:cs="CMU Serif"/>
        </w:rPr>
        <w:t xml:space="preserve"> </w:t>
      </w:r>
      <w:r w:rsidR="009F4334">
        <w:rPr>
          <w:rFonts w:ascii="CMU Serif" w:hAnsi="CMU Serif" w:cs="CMU Serif"/>
        </w:rPr>
        <w:t xml:space="preserve">likewise, </w:t>
      </w:r>
      <w:r w:rsidR="001E2C2E">
        <w:rPr>
          <w:rFonts w:ascii="CMU Serif" w:hAnsi="CMU Serif" w:cs="CMU Serif"/>
        </w:rPr>
        <w:t xml:space="preserve">in Denmark and Sweden </w:t>
      </w:r>
      <w:r w:rsidR="009F4334">
        <w:rPr>
          <w:rFonts w:ascii="CMU Serif" w:hAnsi="CMU Serif" w:cs="CMU Serif"/>
        </w:rPr>
        <w:t>the mean score of the ICT use outside school – both for leisure and schoolwork— is higher than international average (0</w:t>
      </w:r>
      <w:r w:rsidR="001E2C2E">
        <w:rPr>
          <w:rFonts w:ascii="CMU Serif" w:hAnsi="CMU Serif" w:cs="CMU Serif"/>
        </w:rPr>
        <w:t>.09 for schoolwork, 0.02 for leisure), interestingly the Finnish students reported lower averages than the international ones for both variables.</w:t>
      </w:r>
    </w:p>
    <w:p w14:paraId="11735827" w14:textId="09B06CF2" w:rsidR="006E52B5" w:rsidRDefault="00CB064D" w:rsidP="00EF64BD">
      <w:pPr>
        <w:spacing w:line="480" w:lineRule="auto"/>
        <w:ind w:firstLine="720"/>
        <w:rPr>
          <w:rFonts w:ascii="CMU Serif" w:hAnsi="CMU Serif" w:cs="CMU Serif"/>
        </w:rPr>
      </w:pPr>
      <w:r>
        <w:rPr>
          <w:rFonts w:ascii="CMU Serif" w:hAnsi="CMU Serif" w:cs="CMU Serif"/>
        </w:rPr>
        <w:t>Moving on to the most important background variable, t</w:t>
      </w:r>
      <w:r w:rsidR="00E878EF" w:rsidRPr="00CB064D">
        <w:rPr>
          <w:rFonts w:ascii="CMU Serif" w:hAnsi="CMU Serif" w:cs="CMU Serif"/>
        </w:rPr>
        <w:t>he</w:t>
      </w:r>
      <w:r>
        <w:rPr>
          <w:rFonts w:ascii="CMU Serif" w:hAnsi="CMU Serif" w:cs="CMU Serif"/>
        </w:rPr>
        <w:t xml:space="preserve"> ESCS</w:t>
      </w:r>
      <w:r w:rsidR="00980F1E" w:rsidRPr="00CB064D">
        <w:rPr>
          <w:rFonts w:ascii="CMU Serif" w:hAnsi="CMU Serif" w:cs="CMU Serif"/>
        </w:rPr>
        <w:t xml:space="preserve"> averages of </w:t>
      </w:r>
      <w:r>
        <w:rPr>
          <w:rFonts w:ascii="CMU Serif" w:hAnsi="CMU Serif" w:cs="CMU Serif"/>
        </w:rPr>
        <w:t>the three countries</w:t>
      </w:r>
      <w:r w:rsidR="00980F1E" w:rsidRPr="00CB064D">
        <w:rPr>
          <w:rFonts w:ascii="CMU Serif" w:hAnsi="CMU Serif" w:cs="CMU Serif"/>
        </w:rPr>
        <w:t xml:space="preserve"> put</w:t>
      </w:r>
      <w:r w:rsidR="00D77954" w:rsidRPr="00CB064D">
        <w:rPr>
          <w:rFonts w:ascii="CMU Serif" w:hAnsi="CMU Serif" w:cs="CMU Serif"/>
        </w:rPr>
        <w:t xml:space="preserve"> </w:t>
      </w:r>
      <w:r>
        <w:rPr>
          <w:rFonts w:ascii="CMU Serif" w:hAnsi="CMU Serif" w:cs="CMU Serif"/>
        </w:rPr>
        <w:t>them</w:t>
      </w:r>
      <w:r w:rsidR="00D77954" w:rsidRPr="00CB064D">
        <w:rPr>
          <w:rFonts w:ascii="CMU Serif" w:hAnsi="CMU Serif" w:cs="CMU Serif"/>
        </w:rPr>
        <w:t xml:space="preserve"> </w:t>
      </w:r>
      <w:r w:rsidR="004E0A9F" w:rsidRPr="00CB064D">
        <w:rPr>
          <w:rFonts w:ascii="CMU Serif" w:hAnsi="CMU Serif" w:cs="CMU Serif"/>
        </w:rPr>
        <w:t xml:space="preserve">within the </w:t>
      </w:r>
      <w:r>
        <w:rPr>
          <w:rFonts w:ascii="CMU Serif" w:hAnsi="CMU Serif" w:cs="CMU Serif"/>
        </w:rPr>
        <w:t xml:space="preserve">international </w:t>
      </w:r>
      <w:r w:rsidR="004E0A9F" w:rsidRPr="00CB064D">
        <w:rPr>
          <w:rFonts w:ascii="CMU Serif" w:hAnsi="CMU Serif" w:cs="CMU Serif"/>
        </w:rPr>
        <w:t>upper half of the third quartile (ESCS international average</w:t>
      </w:r>
      <w:r w:rsidR="006E52B5" w:rsidRPr="00CB064D">
        <w:rPr>
          <w:rFonts w:ascii="CMU Serif" w:hAnsi="CMU Serif" w:cs="CMU Serif"/>
        </w:rPr>
        <w:t xml:space="preserve"> is</w:t>
      </w:r>
      <w:r w:rsidR="004E0A9F" w:rsidRPr="00CB064D">
        <w:rPr>
          <w:rFonts w:ascii="CMU Serif" w:hAnsi="CMU Serif" w:cs="CMU Serif"/>
        </w:rPr>
        <w:t xml:space="preserve"> -0.28)</w:t>
      </w:r>
      <w:r w:rsidR="006E52B5" w:rsidRPr="00CB064D">
        <w:rPr>
          <w:rFonts w:ascii="CMU Serif" w:hAnsi="CMU Serif" w:cs="CMU Serif"/>
        </w:rPr>
        <w:t>.</w:t>
      </w:r>
      <w:r w:rsidR="00EF64BD">
        <w:rPr>
          <w:rFonts w:ascii="CMU Serif" w:hAnsi="CMU Serif" w:cs="CMU Serif"/>
        </w:rPr>
        <w:t xml:space="preserve"> </w:t>
      </w:r>
      <w:r w:rsidR="002F130D">
        <w:rPr>
          <w:rFonts w:ascii="CMU Serif" w:hAnsi="CMU Serif" w:cs="CMU Serif"/>
        </w:rPr>
        <w:t>With regard to data normality,</w:t>
      </w:r>
      <w:r w:rsidR="00FB29A1">
        <w:rPr>
          <w:rFonts w:ascii="CMU Serif" w:hAnsi="CMU Serif" w:cs="CMU Serif"/>
        </w:rPr>
        <w:t xml:space="preserve"> following</w:t>
      </w:r>
      <w:r w:rsidR="00E5751D">
        <w:rPr>
          <w:rFonts w:ascii="CMU Serif" w:hAnsi="CMU Serif" w:cs="CMU Serif"/>
        </w:rPr>
        <w:t xml:space="preserve"> </w:t>
      </w:r>
      <w:hyperlink r:id="rId5" w:history="1">
        <w:r w:rsidR="007E2660" w:rsidRPr="00FB29A1">
          <w:rPr>
            <w:rStyle w:val="Hyperlink"/>
            <w:rFonts w:ascii="CMU Serif" w:hAnsi="CMU Serif" w:cs="CMU Serif"/>
          </w:rPr>
          <w:t>Hair</w:t>
        </w:r>
      </w:hyperlink>
      <w:r w:rsidR="007E2660" w:rsidRPr="007E2660">
        <w:rPr>
          <w:rFonts w:ascii="CMU Serif" w:hAnsi="CMU Serif" w:cs="CMU Serif"/>
        </w:rPr>
        <w:t xml:space="preserve"> et al. (2010) and </w:t>
      </w:r>
      <w:hyperlink r:id="rId6" w:history="1">
        <w:proofErr w:type="spellStart"/>
        <w:r w:rsidR="007E2660" w:rsidRPr="00FB29A1">
          <w:rPr>
            <w:rStyle w:val="Hyperlink"/>
            <w:rFonts w:ascii="CMU Serif" w:hAnsi="CMU Serif" w:cs="CMU Serif"/>
          </w:rPr>
          <w:t>Bryne</w:t>
        </w:r>
        <w:proofErr w:type="spellEnd"/>
      </w:hyperlink>
      <w:r w:rsidR="007E2660" w:rsidRPr="007E2660">
        <w:rPr>
          <w:rFonts w:ascii="CMU Serif" w:hAnsi="CMU Serif" w:cs="CMU Serif"/>
        </w:rPr>
        <w:t xml:space="preserve"> (2010)</w:t>
      </w:r>
      <w:r w:rsidR="007E2660">
        <w:rPr>
          <w:rFonts w:ascii="CMU Serif" w:hAnsi="CMU Serif" w:cs="CMU Serif"/>
        </w:rPr>
        <w:t xml:space="preserve"> </w:t>
      </w:r>
      <w:r w:rsidR="00FB29A1">
        <w:rPr>
          <w:rFonts w:ascii="CMU Serif" w:hAnsi="CMU Serif" w:cs="CMU Serif"/>
        </w:rPr>
        <w:t xml:space="preserve">suggested cut offs for </w:t>
      </w:r>
      <w:r w:rsidR="007E2660">
        <w:rPr>
          <w:rFonts w:ascii="CMU Serif" w:hAnsi="CMU Serif" w:cs="CMU Serif"/>
        </w:rPr>
        <w:t>normality</w:t>
      </w:r>
      <w:r w:rsidR="00FB29A1">
        <w:rPr>
          <w:rFonts w:ascii="CMU Serif" w:hAnsi="CMU Serif" w:cs="CMU Serif"/>
        </w:rPr>
        <w:t xml:space="preserve"> when </w:t>
      </w:r>
      <w:r w:rsidR="007E2660">
        <w:rPr>
          <w:rFonts w:ascii="CMU Serif" w:hAnsi="CMU Serif" w:cs="CMU Serif"/>
        </w:rPr>
        <w:t xml:space="preserve">the skewness </w:t>
      </w:r>
      <w:r w:rsidR="00FB29A1">
        <w:rPr>
          <w:rFonts w:ascii="CMU Serif" w:hAnsi="CMU Serif" w:cs="CMU Serif"/>
        </w:rPr>
        <w:t xml:space="preserve">is between </w:t>
      </w:r>
      <w:bookmarkStart w:id="0" w:name="_Hlk83031175"/>
      <w:r w:rsidR="00FB29A1" w:rsidRPr="00FB29A1">
        <w:rPr>
          <w:rFonts w:ascii="CMU Serif" w:hAnsi="CMU Serif" w:cs="CMU Serif"/>
        </w:rPr>
        <w:t>±</w:t>
      </w:r>
      <w:bookmarkEnd w:id="0"/>
      <w:r w:rsidR="00FB29A1" w:rsidRPr="00FB29A1">
        <w:rPr>
          <w:rFonts w:ascii="CMU Serif" w:hAnsi="CMU Serif" w:cs="CMU Serif"/>
        </w:rPr>
        <w:t>2</w:t>
      </w:r>
      <w:r w:rsidR="00FB29A1">
        <w:rPr>
          <w:rFonts w:ascii="CMU Serif" w:hAnsi="CMU Serif" w:cs="CMU Serif"/>
        </w:rPr>
        <w:t xml:space="preserve"> and kurtosis between </w:t>
      </w:r>
      <w:r w:rsidR="00FB29A1" w:rsidRPr="00FB29A1">
        <w:rPr>
          <w:rFonts w:ascii="CMU Serif" w:hAnsi="CMU Serif" w:cs="CMU Serif"/>
        </w:rPr>
        <w:t>±7</w:t>
      </w:r>
      <w:r w:rsidR="00FB29A1">
        <w:rPr>
          <w:rFonts w:ascii="CMU Serif" w:hAnsi="CMU Serif" w:cs="CMU Serif"/>
        </w:rPr>
        <w:t>, the statics show</w:t>
      </w:r>
      <w:r w:rsidR="00961700">
        <w:rPr>
          <w:rFonts w:ascii="CMU Serif" w:hAnsi="CMU Serif" w:cs="CMU Serif"/>
        </w:rPr>
        <w:t>s</w:t>
      </w:r>
      <w:r w:rsidR="00FB29A1">
        <w:rPr>
          <w:rFonts w:ascii="CMU Serif" w:hAnsi="CMU Serif" w:cs="CMU Serif"/>
        </w:rPr>
        <w:t xml:space="preserve"> that normality is maintained for all variables </w:t>
      </w:r>
      <w:r w:rsidR="00FB55F3">
        <w:rPr>
          <w:rFonts w:ascii="CMU Serif" w:hAnsi="CMU Serif" w:cs="CMU Serif"/>
        </w:rPr>
        <w:t>except</w:t>
      </w:r>
      <w:r w:rsidR="00CF48D4">
        <w:rPr>
          <w:rFonts w:ascii="CMU Serif" w:hAnsi="CMU Serif" w:cs="CMU Serif"/>
        </w:rPr>
        <w:t xml:space="preserve"> for minor </w:t>
      </w:r>
      <w:r w:rsidR="00961700">
        <w:rPr>
          <w:rFonts w:ascii="CMU Serif" w:hAnsi="CMU Serif" w:cs="CMU Serif"/>
        </w:rPr>
        <w:t xml:space="preserve">immoderate kurtosis of </w:t>
      </w:r>
      <w:r w:rsidR="00FB55F3">
        <w:rPr>
          <w:rFonts w:ascii="CMU Serif" w:hAnsi="CMU Serif" w:cs="CMU Serif"/>
        </w:rPr>
        <w:t xml:space="preserve">ENTUSE. For broader view, </w:t>
      </w:r>
      <w:r w:rsidR="00FB55F3" w:rsidRPr="00EF64BD">
        <w:rPr>
          <w:rFonts w:ascii="CMU Serif" w:hAnsi="CMU Serif" w:cs="CMU Serif"/>
          <w:shd w:val="clear" w:color="auto" w:fill="ED7D31" w:themeFill="accent2"/>
        </w:rPr>
        <w:t xml:space="preserve">Figure </w:t>
      </w:r>
      <w:r w:rsidR="00EF64BD" w:rsidRPr="00EF64BD">
        <w:rPr>
          <w:rFonts w:ascii="CMU Serif" w:hAnsi="CMU Serif" w:cs="CMU Serif"/>
          <w:shd w:val="clear" w:color="auto" w:fill="ED7D31" w:themeFill="accent2"/>
        </w:rPr>
        <w:t>6</w:t>
      </w:r>
      <w:r w:rsidR="00FB55F3">
        <w:rPr>
          <w:rFonts w:ascii="CMU Serif" w:hAnsi="CMU Serif" w:cs="CMU Serif"/>
        </w:rPr>
        <w:t xml:space="preserve"> visualizes the distribution differences in ICT use variables between the countries.</w:t>
      </w:r>
      <w:r w:rsidR="00EF64BD">
        <w:rPr>
          <w:rFonts w:ascii="CMU Serif" w:hAnsi="CMU Serif" w:cs="CMU Serif"/>
        </w:rPr>
        <w:t xml:space="preserve"> </w:t>
      </w:r>
      <w:r w:rsidR="00CF48D4">
        <w:rPr>
          <w:rFonts w:ascii="CMU Serif" w:hAnsi="CMU Serif" w:cs="CMU Serif"/>
        </w:rPr>
        <w:t xml:space="preserve">However, </w:t>
      </w:r>
      <w:proofErr w:type="spellStart"/>
      <w:r w:rsidR="00CF48D4">
        <w:rPr>
          <w:rFonts w:ascii="CMU Serif" w:hAnsi="CMU Serif" w:cs="CMU Serif"/>
        </w:rPr>
        <w:t>Mplus</w:t>
      </w:r>
      <w:proofErr w:type="spellEnd"/>
      <w:r w:rsidR="00CF48D4">
        <w:rPr>
          <w:rFonts w:ascii="CMU Serif" w:hAnsi="CMU Serif" w:cs="CMU Serif"/>
        </w:rPr>
        <w:t xml:space="preserve"> estimator is prepared for possible </w:t>
      </w:r>
      <w:r w:rsidR="00961700">
        <w:rPr>
          <w:rFonts w:ascii="CMU Serif" w:hAnsi="CMU Serif" w:cs="CMU Serif"/>
        </w:rPr>
        <w:t>non-normality when implementing the model (</w:t>
      </w:r>
      <w:proofErr w:type="spellStart"/>
      <w:r w:rsidR="00962A79">
        <w:fldChar w:fldCharType="begin"/>
      </w:r>
      <w:r w:rsidR="00962A79">
        <w:instrText xml:space="preserve"> HYPERLINK "file:///\\\\Webdrive\\UiO-hjemmeområde\\pc\\Dokumenter\\MSc\\Thesis\\Writ</w:instrText>
      </w:r>
      <w:r w:rsidR="00962A79">
        <w:instrText xml:space="preserve">e\\Master\\Muthén,%20L.%20K.%20&amp;%20Muthén,%20B.%20O.%20(2017).%20user’s%20guide.%20Muthén%20&amp;%20Muthén.%20https%20:%20\\%20\\" </w:instrText>
      </w:r>
      <w:r w:rsidR="00962A79">
        <w:fldChar w:fldCharType="separate"/>
      </w:r>
      <w:r w:rsidR="00961700" w:rsidRPr="00961700">
        <w:rPr>
          <w:rStyle w:val="Hyperlink"/>
          <w:rFonts w:ascii="CMU Serif" w:hAnsi="CMU Serif" w:cs="CMU Serif"/>
        </w:rPr>
        <w:t>Muthén</w:t>
      </w:r>
      <w:proofErr w:type="spellEnd"/>
      <w:r w:rsidR="00962A79">
        <w:rPr>
          <w:rStyle w:val="Hyperlink"/>
          <w:rFonts w:ascii="CMU Serif" w:hAnsi="CMU Serif" w:cs="CMU Serif"/>
        </w:rPr>
        <w:fldChar w:fldCharType="end"/>
      </w:r>
      <w:r w:rsidR="00961700" w:rsidRPr="00961700">
        <w:rPr>
          <w:rFonts w:ascii="CMU Serif" w:hAnsi="CMU Serif" w:cs="CMU Serif"/>
        </w:rPr>
        <w:t xml:space="preserve"> &amp; </w:t>
      </w:r>
      <w:proofErr w:type="spellStart"/>
      <w:r w:rsidR="00961700" w:rsidRPr="00961700">
        <w:rPr>
          <w:rFonts w:ascii="CMU Serif" w:hAnsi="CMU Serif" w:cs="CMU Serif"/>
        </w:rPr>
        <w:t>Muthén</w:t>
      </w:r>
      <w:proofErr w:type="spellEnd"/>
      <w:r w:rsidR="00961700" w:rsidRPr="00961700">
        <w:rPr>
          <w:rFonts w:ascii="CMU Serif" w:hAnsi="CMU Serif" w:cs="CMU Serif"/>
        </w:rPr>
        <w:t>,</w:t>
      </w:r>
      <w:r w:rsidR="00961700">
        <w:rPr>
          <w:rFonts w:ascii="CMU Serif" w:hAnsi="CMU Serif" w:cs="CMU Serif"/>
        </w:rPr>
        <w:t xml:space="preserve"> </w:t>
      </w:r>
      <w:r w:rsidR="00961700" w:rsidRPr="00961700">
        <w:rPr>
          <w:rFonts w:ascii="CMU Serif" w:hAnsi="CMU Serif" w:cs="CMU Serif"/>
          <w:highlight w:val="yellow"/>
        </w:rPr>
        <w:t>user guide</w:t>
      </w:r>
      <w:r w:rsidR="00961700">
        <w:rPr>
          <w:rFonts w:ascii="CMU Serif" w:hAnsi="CMU Serif" w:cs="CMU Serif"/>
        </w:rPr>
        <w:t>)</w:t>
      </w:r>
      <w:r w:rsidR="00EF64BD">
        <w:rPr>
          <w:rFonts w:ascii="CMU Serif" w:hAnsi="CMU Serif" w:cs="CMU Serif"/>
        </w:rPr>
        <w:t>.</w:t>
      </w:r>
    </w:p>
    <w:p w14:paraId="66E6D643" w14:textId="25EE9F91" w:rsidR="00E22787" w:rsidRPr="00EF64BD" w:rsidRDefault="00644BE4" w:rsidP="00EF64BD">
      <w:pPr>
        <w:spacing w:line="480" w:lineRule="auto"/>
        <w:ind w:firstLine="720"/>
        <w:rPr>
          <w:rFonts w:ascii="CMU Serif" w:hAnsi="CMU Serif" w:cs="CMU Serif"/>
        </w:rPr>
      </w:pPr>
      <w:r>
        <w:rPr>
          <w:rFonts w:ascii="CMU Serif" w:hAnsi="CMU Serif" w:cs="CMU Serif"/>
        </w:rPr>
        <w:lastRenderedPageBreak/>
        <w:t xml:space="preserve">Correlations between the variables are presented in </w:t>
      </w:r>
      <w:r w:rsidRPr="00EF64BD">
        <w:rPr>
          <w:rFonts w:ascii="CMU Serif" w:hAnsi="CMU Serif" w:cs="CMU Serif"/>
          <w:shd w:val="clear" w:color="auto" w:fill="FFC000" w:themeFill="accent4"/>
        </w:rPr>
        <w:t xml:space="preserve">Table </w:t>
      </w:r>
      <w:r w:rsidR="00EF64BD" w:rsidRPr="00EF64BD">
        <w:rPr>
          <w:rFonts w:ascii="CMU Serif" w:hAnsi="CMU Serif" w:cs="CMU Serif"/>
          <w:shd w:val="clear" w:color="auto" w:fill="FFC000" w:themeFill="accent4"/>
        </w:rPr>
        <w:t>5</w:t>
      </w:r>
      <w:r w:rsidR="00EF64BD">
        <w:rPr>
          <w:rFonts w:ascii="CMU Serif" w:hAnsi="CMU Serif" w:cs="CMU Serif"/>
        </w:rPr>
        <w:t xml:space="preserve"> </w:t>
      </w:r>
      <w:r w:rsidR="00936EBB">
        <w:rPr>
          <w:rFonts w:ascii="CMU Serif" w:hAnsi="CMU Serif" w:cs="CMU Serif"/>
        </w:rPr>
        <w:t xml:space="preserve">, most of the correlations between ICT variables and reading attitudes are significant yet </w:t>
      </w:r>
      <w:r w:rsidR="00601CB1">
        <w:rPr>
          <w:rFonts w:ascii="CMU Serif" w:hAnsi="CMU Serif" w:cs="CMU Serif"/>
        </w:rPr>
        <w:t>not strong</w:t>
      </w:r>
      <w:r w:rsidR="00CA1F61">
        <w:rPr>
          <w:rFonts w:ascii="CMU Serif" w:hAnsi="CMU Serif" w:cs="CMU Serif"/>
        </w:rPr>
        <w:t xml:space="preserve"> (</w:t>
      </w:r>
      <w:r w:rsidR="0010635B" w:rsidRPr="001C2E92">
        <w:rPr>
          <w:rFonts w:ascii="CMU Serif" w:hAnsi="CMU Serif" w:cs="CMU Serif"/>
          <w:sz w:val="24"/>
          <w:szCs w:val="24"/>
        </w:rPr>
        <w:t>ρ</w:t>
      </w:r>
      <w:r w:rsidR="001C2E92">
        <w:rPr>
          <w:rFonts w:ascii="CMU Serif" w:hAnsi="CMU Serif" w:cs="CMU Serif"/>
        </w:rPr>
        <w:t xml:space="preserve"> </w:t>
      </w:r>
      <w:r w:rsidR="001C2E92">
        <w:rPr>
          <w:rFonts w:ascii="Times New Roman" w:hAnsi="Times New Roman" w:cs="Times New Roman"/>
          <w:sz w:val="27"/>
          <w:szCs w:val="27"/>
        </w:rPr>
        <w:t xml:space="preserve">≤ </w:t>
      </w:r>
      <w:r w:rsidR="001C2E92" w:rsidRPr="001C2E92">
        <w:rPr>
          <w:rFonts w:ascii="CMU Serif" w:hAnsi="CMU Serif" w:cs="CMU Serif"/>
        </w:rPr>
        <w:t>0.09)</w:t>
      </w:r>
      <w:r w:rsidR="00101D43">
        <w:rPr>
          <w:rFonts w:ascii="CMU Serif" w:hAnsi="CMU Serif" w:cs="CMU Serif"/>
        </w:rPr>
        <w:t xml:space="preserve">. </w:t>
      </w:r>
      <w:r w:rsidR="004A67F0">
        <w:rPr>
          <w:rFonts w:ascii="CMU Serif" w:hAnsi="CMU Serif" w:cs="CMU Serif"/>
        </w:rPr>
        <w:t>In contrast, s</w:t>
      </w:r>
      <w:r w:rsidR="00CA1F61" w:rsidRPr="004A67F0">
        <w:rPr>
          <w:rFonts w:ascii="CMU Serif" w:hAnsi="CMU Serif" w:cs="CMU Serif"/>
        </w:rPr>
        <w:t xml:space="preserve">tudents who </w:t>
      </w:r>
      <w:r w:rsidR="004C1DE5" w:rsidRPr="004A67F0">
        <w:rPr>
          <w:rFonts w:ascii="CMU Serif" w:hAnsi="CMU Serif" w:cs="CMU Serif"/>
        </w:rPr>
        <w:t xml:space="preserve">more often </w:t>
      </w:r>
      <w:r w:rsidR="00CA1F61" w:rsidRPr="004A67F0">
        <w:rPr>
          <w:rFonts w:ascii="CMU Serif" w:hAnsi="CMU Serif" w:cs="CMU Serif"/>
        </w:rPr>
        <w:t xml:space="preserve">use </w:t>
      </w:r>
      <w:r w:rsidR="00101D43" w:rsidRPr="004A67F0">
        <w:rPr>
          <w:rFonts w:ascii="CMU Serif" w:hAnsi="CMU Serif" w:cs="CMU Serif"/>
        </w:rPr>
        <w:t>ICT devices at any given place (inside or outside school) for a given purpose (for leisure or schoolwork) would</w:t>
      </w:r>
      <w:r w:rsidR="004C1DE5" w:rsidRPr="004A67F0">
        <w:rPr>
          <w:rFonts w:ascii="CMU Serif" w:hAnsi="CMU Serif" w:cs="CMU Serif"/>
        </w:rPr>
        <w:t xml:space="preserve"> more often</w:t>
      </w:r>
      <w:r w:rsidR="00101D43" w:rsidRPr="004A67F0">
        <w:rPr>
          <w:rFonts w:ascii="CMU Serif" w:hAnsi="CMU Serif" w:cs="CMU Serif"/>
        </w:rPr>
        <w:t xml:space="preserve"> use </w:t>
      </w:r>
      <w:r w:rsidR="004C1DE5" w:rsidRPr="004A67F0">
        <w:rPr>
          <w:rFonts w:ascii="CMU Serif" w:hAnsi="CMU Serif" w:cs="CMU Serif"/>
        </w:rPr>
        <w:t>them</w:t>
      </w:r>
      <w:r w:rsidR="00101D43" w:rsidRPr="004A67F0">
        <w:rPr>
          <w:rFonts w:ascii="CMU Serif" w:hAnsi="CMU Serif" w:cs="CMU Serif"/>
        </w:rPr>
        <w:t xml:space="preserve"> at the other place for the other purpose (</w:t>
      </w:r>
      <w:r w:rsidR="00101D43" w:rsidRPr="004A67F0">
        <w:rPr>
          <w:rFonts w:ascii="CMU Serif" w:hAnsi="CMU Serif" w:cs="CMU Serif"/>
          <w:sz w:val="24"/>
          <w:szCs w:val="24"/>
        </w:rPr>
        <w:t>ρ</w:t>
      </w:r>
      <w:r w:rsidR="004A67F0" w:rsidRPr="004A67F0">
        <w:rPr>
          <w:rFonts w:ascii="CMU Serif" w:hAnsi="CMU Serif" w:cs="CMU Serif"/>
        </w:rPr>
        <w:t xml:space="preserve"> </w:t>
      </w:r>
      <w:r w:rsidR="004A67F0" w:rsidRPr="004A67F0">
        <w:rPr>
          <w:rFonts w:ascii="Times New Roman" w:hAnsi="Times New Roman" w:cs="Times New Roman"/>
          <w:sz w:val="27"/>
          <w:szCs w:val="27"/>
        </w:rPr>
        <w:t>≥</w:t>
      </w:r>
      <w:r w:rsidR="004A67F0">
        <w:rPr>
          <w:rFonts w:ascii="Times New Roman" w:hAnsi="Times New Roman" w:cs="Times New Roman"/>
          <w:sz w:val="27"/>
          <w:szCs w:val="27"/>
        </w:rPr>
        <w:t xml:space="preserve"> </w:t>
      </w:r>
      <w:r w:rsidR="004A67F0" w:rsidRPr="004A67F0">
        <w:rPr>
          <w:rFonts w:ascii="CMU Serif" w:hAnsi="CMU Serif" w:cs="CMU Serif"/>
        </w:rPr>
        <w:t>0.43</w:t>
      </w:r>
      <w:r w:rsidR="004A67F0">
        <w:rPr>
          <w:rFonts w:ascii="CMU Serif" w:hAnsi="CMU Serif" w:cs="CMU Serif"/>
        </w:rPr>
        <w:t>).</w:t>
      </w:r>
      <w:r w:rsidR="00EF64BD">
        <w:rPr>
          <w:rFonts w:ascii="CMU Serif" w:hAnsi="CMU Serif" w:cs="CMU Serif"/>
        </w:rPr>
        <w:t xml:space="preserve"> </w:t>
      </w:r>
      <w:r w:rsidR="004A67F0">
        <w:rPr>
          <w:rFonts w:ascii="CMU Serif" w:hAnsi="CMU Serif" w:cs="CMU Serif"/>
        </w:rPr>
        <w:t>Background variables correlate differently with other variables, while h</w:t>
      </w:r>
      <w:r w:rsidR="00601CB1">
        <w:rPr>
          <w:rFonts w:ascii="CMU Serif" w:hAnsi="CMU Serif" w:cs="CMU Serif"/>
        </w:rPr>
        <w:t xml:space="preserve">igher ESCS is strongly associated with positive attitudes towards </w:t>
      </w:r>
      <w:r w:rsidR="00CA1F61">
        <w:rPr>
          <w:rFonts w:ascii="CMU Serif" w:hAnsi="CMU Serif" w:cs="CMU Serif"/>
        </w:rPr>
        <w:t>reading and</w:t>
      </w:r>
      <w:r w:rsidR="00601CB1">
        <w:rPr>
          <w:rFonts w:ascii="CMU Serif" w:hAnsi="CMU Serif" w:cs="CMU Serif"/>
        </w:rPr>
        <w:t xml:space="preserve"> reading achievement as well</w:t>
      </w:r>
      <w:r w:rsidR="004A67F0">
        <w:rPr>
          <w:rFonts w:ascii="CMU Serif" w:hAnsi="CMU Serif" w:cs="CMU Serif"/>
        </w:rPr>
        <w:t>, b</w:t>
      </w:r>
      <w:r w:rsidR="00CA1F61" w:rsidRPr="004A67F0">
        <w:rPr>
          <w:rFonts w:ascii="CMU Serif" w:hAnsi="CMU Serif" w:cs="CMU Serif"/>
        </w:rPr>
        <w:t>eing an immigrant, first or second generation, is negatively associated with reading achievement</w:t>
      </w:r>
      <w:r w:rsidR="004A67F0">
        <w:rPr>
          <w:rFonts w:ascii="CMU Serif" w:hAnsi="CMU Serif" w:cs="CMU Serif"/>
        </w:rPr>
        <w:t xml:space="preserve">. Lastly, girls seem to enjoy reading more than boys who tend to spend more time using ICT devices for </w:t>
      </w:r>
      <w:r w:rsidR="00144345">
        <w:rPr>
          <w:rFonts w:ascii="CMU Serif" w:hAnsi="CMU Serif" w:cs="CMU Serif"/>
        </w:rPr>
        <w:t>leisure</w:t>
      </w:r>
      <w:r w:rsidR="004A67F0">
        <w:rPr>
          <w:rFonts w:ascii="CMU Serif" w:hAnsi="CMU Serif" w:cs="CMU Serif"/>
        </w:rPr>
        <w:t xml:space="preserve">. </w:t>
      </w:r>
    </w:p>
    <w:p w14:paraId="40B6C672" w14:textId="6747108B" w:rsidR="000A167A" w:rsidRDefault="00AB3024" w:rsidP="00EF64BD">
      <w:pPr>
        <w:numPr>
          <w:ilvl w:val="1"/>
          <w:numId w:val="7"/>
        </w:numPr>
        <w:spacing w:line="480" w:lineRule="auto"/>
        <w:rPr>
          <w:rFonts w:ascii="CMU Serif" w:hAnsi="CMU Serif" w:cs="CMU Serif"/>
        </w:rPr>
      </w:pPr>
      <w:r>
        <w:rPr>
          <w:rFonts w:ascii="CMU Serif" w:hAnsi="CMU Serif" w:cs="CMU Serif"/>
          <w:b/>
          <w:bCs/>
        </w:rPr>
        <w:t>Testing for multilevel structure</w:t>
      </w:r>
      <w:r w:rsidRPr="00D806D2">
        <w:rPr>
          <w:rFonts w:ascii="CMU Serif" w:hAnsi="CMU Serif" w:cs="CMU Serif"/>
        </w:rPr>
        <w:t xml:space="preserve">: </w:t>
      </w:r>
    </w:p>
    <w:p w14:paraId="5E680C12" w14:textId="367F6FF0" w:rsidR="00AB3024" w:rsidRDefault="00AB3024" w:rsidP="00EF64BD">
      <w:pPr>
        <w:spacing w:line="480" w:lineRule="auto"/>
        <w:ind w:firstLine="720"/>
        <w:rPr>
          <w:rFonts w:ascii="CMU Serif" w:hAnsi="CMU Serif" w:cs="CMU Serif"/>
        </w:rPr>
      </w:pPr>
      <w:r>
        <w:rPr>
          <w:rFonts w:ascii="CMU Serif" w:hAnsi="CMU Serif" w:cs="CMU Serif"/>
        </w:rPr>
        <w:t xml:space="preserve">PISA uses clusters design in its assessments, where students are nested in schools and schools are nested in countries, </w:t>
      </w:r>
      <w:r w:rsidRPr="000615AB">
        <w:rPr>
          <w:rFonts w:ascii="CMU Serif" w:hAnsi="CMU Serif" w:cs="CMU Serif"/>
        </w:rPr>
        <w:t>therefore it is a advised to consider hierarchical linear modelling (HLM) as it accounts for this clustering and consequently avoid statistical issues (</w:t>
      </w:r>
      <w:hyperlink r:id="rId7" w:anchor="v=onepage&amp;q&amp;f=false" w:history="1">
        <w:r w:rsidRPr="000615AB">
          <w:rPr>
            <w:rStyle w:val="Hyperlink"/>
            <w:rFonts w:ascii="CMU Serif" w:hAnsi="CMU Serif" w:cs="CMU Serif"/>
          </w:rPr>
          <w:t>SC</w:t>
        </w:r>
      </w:hyperlink>
      <w:r w:rsidRPr="000615AB">
        <w:rPr>
          <w:rFonts w:ascii="CMU Serif" w:hAnsi="CMU Serif" w:cs="CMU Serif"/>
        </w:rPr>
        <w:t xml:space="preserve">). </w:t>
      </w:r>
      <w:r>
        <w:rPr>
          <w:rFonts w:ascii="CMU Serif" w:hAnsi="CMU Serif" w:cs="CMU Serif"/>
        </w:rPr>
        <w:t xml:space="preserve">To test for HLM a null-model with no covariates was constructed to investigate the intraclass correlation coefficients (ICC), </w:t>
      </w:r>
      <w:r w:rsidRPr="005273BA">
        <w:rPr>
          <w:rFonts w:ascii="CMU Serif" w:hAnsi="CMU Serif" w:cs="CMU Serif"/>
        </w:rPr>
        <w:t>which indicates the proportion of variance that is accounted for by the group leve</w:t>
      </w:r>
      <w:r>
        <w:rPr>
          <w:rFonts w:ascii="CMU Serif" w:hAnsi="CMU Serif" w:cs="CMU Serif"/>
        </w:rPr>
        <w:t xml:space="preserve">l, </w:t>
      </w:r>
      <w:r w:rsidRPr="005273BA">
        <w:rPr>
          <w:rFonts w:ascii="CMU Serif" w:hAnsi="CMU Serif" w:cs="CMU Serif"/>
        </w:rPr>
        <w:t>the result showed only 16% of the variation is due to clusters, which is below the 20% cut-off to consider HLM, this is explained by the shared educational, social, and economical systems of the three countries. For this reason single (student) level modelling was favored over multilevel modelling</w:t>
      </w:r>
      <w:r w:rsidR="00541EE9">
        <w:rPr>
          <w:rFonts w:ascii="CMU Serif" w:hAnsi="CMU Serif" w:cs="CMU Serif"/>
        </w:rPr>
        <w:t xml:space="preserve"> (</w:t>
      </w:r>
      <w:hyperlink r:id="rId8" w:history="1">
        <w:r w:rsidR="00541EE9" w:rsidRPr="00541EE9">
          <w:rPr>
            <w:rStyle w:val="Hyperlink"/>
            <w:rFonts w:ascii="CMU Serif" w:hAnsi="CMU Serif" w:cs="CMU Serif"/>
          </w:rPr>
          <w:t>SC</w:t>
        </w:r>
      </w:hyperlink>
      <w:r w:rsidR="00541EE9">
        <w:rPr>
          <w:rFonts w:ascii="CMU Serif" w:hAnsi="CMU Serif" w:cs="CMU Serif"/>
        </w:rPr>
        <w:t>)</w:t>
      </w:r>
      <w:r w:rsidRPr="005273BA">
        <w:rPr>
          <w:rFonts w:ascii="CMU Serif" w:hAnsi="CMU Serif" w:cs="CMU Serif"/>
        </w:rPr>
        <w:t>.</w:t>
      </w:r>
    </w:p>
    <w:p w14:paraId="58A3F8A3" w14:textId="59B4FB93" w:rsidR="000F77E6" w:rsidRDefault="00CD1EE5" w:rsidP="00EF64BD">
      <w:pPr>
        <w:numPr>
          <w:ilvl w:val="1"/>
          <w:numId w:val="7"/>
        </w:numPr>
        <w:spacing w:line="480" w:lineRule="auto"/>
        <w:rPr>
          <w:rFonts w:ascii="CMU Serif" w:hAnsi="CMU Serif" w:cs="CMU Serif"/>
          <w:b/>
          <w:bCs/>
        </w:rPr>
      </w:pPr>
      <w:r>
        <w:rPr>
          <w:rFonts w:ascii="CMU Serif" w:hAnsi="CMU Serif" w:cs="CMU Serif"/>
          <w:b/>
          <w:bCs/>
        </w:rPr>
        <w:lastRenderedPageBreak/>
        <w:t xml:space="preserve"> CFA and EFA</w:t>
      </w:r>
    </w:p>
    <w:p w14:paraId="639A9BF6" w14:textId="6DB6ABE7" w:rsidR="000F77E6" w:rsidRDefault="006C7EE4" w:rsidP="00EF64BD">
      <w:pPr>
        <w:autoSpaceDE w:val="0"/>
        <w:autoSpaceDN w:val="0"/>
        <w:adjustRightInd w:val="0"/>
        <w:spacing w:after="0" w:line="480" w:lineRule="auto"/>
        <w:ind w:firstLine="360"/>
        <w:rPr>
          <w:rFonts w:ascii="CMU Serif" w:hAnsi="CMU Serif" w:cs="CMU Serif"/>
        </w:rPr>
      </w:pPr>
      <w:r>
        <w:rPr>
          <w:rFonts w:ascii="CMU Serif" w:hAnsi="CMU Serif" w:cs="CMU Serif"/>
        </w:rPr>
        <w:t xml:space="preserve">The CFA </w:t>
      </w:r>
      <w:r w:rsidR="00AE1C88">
        <w:rPr>
          <w:rFonts w:ascii="CMU Serif" w:hAnsi="CMU Serif" w:cs="CMU Serif"/>
        </w:rPr>
        <w:t xml:space="preserve">demonstrated good items loadings in general </w:t>
      </w:r>
      <w:r w:rsidR="00515FC1">
        <w:rPr>
          <w:rFonts w:ascii="CMU Serif" w:hAnsi="CMU Serif" w:cs="CMU Serif"/>
        </w:rPr>
        <w:t>(</w:t>
      </w:r>
      <w:r w:rsidR="00AE1C88">
        <w:rPr>
          <w:rFonts w:ascii="CMU Serif" w:hAnsi="CMU Serif" w:cs="CMU Serif"/>
        </w:rPr>
        <w:t>see Appendix X</w:t>
      </w:r>
      <w:r w:rsidR="00515FC1">
        <w:rPr>
          <w:rFonts w:ascii="CMU Serif" w:hAnsi="CMU Serif" w:cs="CMU Serif"/>
        </w:rPr>
        <w:t>)</w:t>
      </w:r>
      <w:r w:rsidR="00AE1C88">
        <w:rPr>
          <w:rFonts w:ascii="CMU Serif" w:hAnsi="CMU Serif" w:cs="CMU Serif"/>
        </w:rPr>
        <w:t xml:space="preserve">, all items had loadings λ </w:t>
      </w:r>
      <w:r w:rsidR="00AE1C88" w:rsidRPr="00515FC1">
        <w:rPr>
          <w:rFonts w:ascii="Arial" w:hAnsi="Arial"/>
        </w:rPr>
        <w:t>≥</w:t>
      </w:r>
      <w:r w:rsidR="00AE1C88" w:rsidRPr="00AE1C88">
        <w:rPr>
          <w:rFonts w:ascii="CMU Serif" w:hAnsi="CMU Serif" w:cs="CMU Serif"/>
        </w:rPr>
        <w:t xml:space="preserve"> 0.637</w:t>
      </w:r>
      <w:r w:rsidR="00AE1C88">
        <w:rPr>
          <w:rFonts w:ascii="CMU Serif" w:hAnsi="CMU Serif" w:cs="CMU Serif"/>
        </w:rPr>
        <w:t xml:space="preserve"> for HOMESCH, and λ </w:t>
      </w:r>
      <w:r w:rsidR="00AE1C88" w:rsidRPr="00515FC1">
        <w:rPr>
          <w:rFonts w:ascii="Arial" w:hAnsi="Arial"/>
        </w:rPr>
        <w:t>≥</w:t>
      </w:r>
      <w:r w:rsidR="00AE1C88" w:rsidRPr="00515FC1">
        <w:rPr>
          <w:rFonts w:ascii="CMU Serif" w:hAnsi="CMU Serif" w:cs="CMU Serif"/>
        </w:rPr>
        <w:t xml:space="preserve"> </w:t>
      </w:r>
      <w:r w:rsidR="00AE1C88">
        <w:rPr>
          <w:rFonts w:ascii="CMU Serif" w:hAnsi="CMU Serif" w:cs="CMU Serif"/>
        </w:rPr>
        <w:t>0.364 for ENTUSE (except for one item “</w:t>
      </w:r>
      <w:r w:rsidR="00AE1C88" w:rsidRPr="00AE1C88">
        <w:rPr>
          <w:rFonts w:ascii="CMU Serif" w:hAnsi="CMU Serif" w:cs="CMU Serif"/>
        </w:rPr>
        <w:t>Participating in social networks (e.g. &lt;Facebook&gt;, &lt;</w:t>
      </w:r>
      <w:proofErr w:type="spellStart"/>
      <w:r w:rsidR="00AE1C88" w:rsidRPr="00AE1C88">
        <w:rPr>
          <w:rFonts w:ascii="CMU Serif" w:hAnsi="CMU Serif" w:cs="CMU Serif"/>
        </w:rPr>
        <w:t>MySpace</w:t>
      </w:r>
      <w:proofErr w:type="spellEnd"/>
      <w:r w:rsidR="00AE1C88" w:rsidRPr="00AE1C88">
        <w:rPr>
          <w:rFonts w:ascii="CMU Serif" w:hAnsi="CMU Serif" w:cs="CMU Serif"/>
        </w:rPr>
        <w:t>&gt;</w:t>
      </w:r>
      <w:r w:rsidR="00AE1C88">
        <w:rPr>
          <w:rFonts w:ascii="CMU Serif" w:hAnsi="CMU Serif" w:cs="CMU Serif"/>
        </w:rPr>
        <w:t>”</w:t>
      </w:r>
      <w:r w:rsidR="00AE1C88" w:rsidRPr="00AE1C88">
        <w:rPr>
          <w:rFonts w:ascii="CMU Serif" w:hAnsi="CMU Serif" w:cs="CMU Serif"/>
        </w:rPr>
        <w:t>).</w:t>
      </w:r>
      <w:r w:rsidR="00515FC1">
        <w:rPr>
          <w:rFonts w:ascii="CMU Serif" w:hAnsi="CMU Serif" w:cs="CMU Serif"/>
        </w:rPr>
        <w:t xml:space="preserve"> Such results suggests that all items are indicating one construct (</w:t>
      </w:r>
      <w:hyperlink r:id="rId9" w:history="1">
        <w:r w:rsidR="00515FC1" w:rsidRPr="00515FC1">
          <w:rPr>
            <w:rStyle w:val="Hyperlink"/>
            <w:rFonts w:ascii="CMU Serif" w:hAnsi="CMU Serif" w:cs="CMU Serif"/>
          </w:rPr>
          <w:t>SC</w:t>
        </w:r>
      </w:hyperlink>
      <w:r w:rsidR="00515FC1">
        <w:rPr>
          <w:rFonts w:ascii="CMU Serif" w:hAnsi="CMU Serif" w:cs="CMU Serif"/>
        </w:rPr>
        <w:t>).</w:t>
      </w:r>
      <w:r w:rsidR="00EF64BD">
        <w:rPr>
          <w:rFonts w:ascii="CMU Serif" w:hAnsi="CMU Serif" w:cs="CMU Serif"/>
        </w:rPr>
        <w:t xml:space="preserve"> </w:t>
      </w:r>
      <w:r w:rsidR="00515FC1">
        <w:rPr>
          <w:rFonts w:ascii="CMU Serif" w:hAnsi="CMU Serif" w:cs="CMU Serif"/>
        </w:rPr>
        <w:t>The CFA also showed</w:t>
      </w:r>
      <w:r w:rsidR="00614BB5">
        <w:rPr>
          <w:rFonts w:ascii="CMU Serif" w:hAnsi="CMU Serif" w:cs="CMU Serif"/>
        </w:rPr>
        <w:t xml:space="preserve"> good fit indices for the three variables as </w:t>
      </w:r>
      <w:r w:rsidR="00EF64BD" w:rsidRPr="00EF64BD">
        <w:rPr>
          <w:rFonts w:ascii="CMU Serif" w:hAnsi="CMU Serif" w:cs="CMU Serif"/>
          <w:color w:val="FF0000"/>
        </w:rPr>
        <w:t>APPNDX</w:t>
      </w:r>
      <w:r w:rsidR="00614BB5">
        <w:rPr>
          <w:rFonts w:ascii="CMU Serif" w:hAnsi="CMU Serif" w:cs="CMU Serif"/>
        </w:rPr>
        <w:t xml:space="preserve"> demonstrate.</w:t>
      </w:r>
      <w:r w:rsidR="00EF64BD">
        <w:rPr>
          <w:rFonts w:ascii="CMU Serif" w:hAnsi="CMU Serif" w:cs="CMU Serif"/>
        </w:rPr>
        <w:t xml:space="preserve"> </w:t>
      </w:r>
      <w:r w:rsidR="007A6355">
        <w:rPr>
          <w:rFonts w:ascii="CMU Serif" w:hAnsi="CMU Serif" w:cs="CMU Serif"/>
        </w:rPr>
        <w:t>While i</w:t>
      </w:r>
      <w:r w:rsidR="00614BB5">
        <w:rPr>
          <w:rFonts w:ascii="CMU Serif" w:hAnsi="CMU Serif" w:cs="CMU Serif"/>
        </w:rPr>
        <w:t>t is true that the fit indices</w:t>
      </w:r>
      <w:r w:rsidR="00A15816">
        <w:rPr>
          <w:rFonts w:ascii="CMU Serif" w:hAnsi="CMU Serif" w:cs="CMU Serif"/>
        </w:rPr>
        <w:t xml:space="preserve"> for ENTUSE</w:t>
      </w:r>
      <w:r w:rsidR="000B1EBF">
        <w:rPr>
          <w:rFonts w:ascii="CMU Serif" w:hAnsi="CMU Serif" w:cs="CMU Serif"/>
        </w:rPr>
        <w:t>, especially in Denmark,</w:t>
      </w:r>
      <w:r w:rsidR="004C6DB1">
        <w:rPr>
          <w:rFonts w:ascii="CMU Serif" w:hAnsi="CMU Serif" w:cs="CMU Serif"/>
        </w:rPr>
        <w:t xml:space="preserve"> are slightly short from </w:t>
      </w:r>
      <w:r w:rsidR="00F86398">
        <w:rPr>
          <w:rFonts w:ascii="CMU Serif" w:hAnsi="CMU Serif" w:cs="CMU Serif"/>
        </w:rPr>
        <w:t>Hu and Belter (1999) cutoff criteria,</w:t>
      </w:r>
      <w:r w:rsidR="007A6355">
        <w:rPr>
          <w:rFonts w:ascii="CMU Serif" w:hAnsi="CMU Serif" w:cs="CMU Serif"/>
        </w:rPr>
        <w:t xml:space="preserve"> it is worthwhile noting that</w:t>
      </w:r>
      <w:r w:rsidR="002044C2">
        <w:rPr>
          <w:rFonts w:ascii="CMU Serif" w:hAnsi="CMU Serif" w:cs="CMU Serif"/>
        </w:rPr>
        <w:t xml:space="preserve"> many researchers suggested that these are not golden cutoffs</w:t>
      </w:r>
      <w:r w:rsidR="007A6355">
        <w:rPr>
          <w:rFonts w:ascii="CMU Serif" w:hAnsi="CMU Serif" w:cs="CMU Serif"/>
        </w:rPr>
        <w:t>,</w:t>
      </w:r>
      <w:r w:rsidR="00F86398">
        <w:rPr>
          <w:rFonts w:ascii="CMU Serif" w:hAnsi="CMU Serif" w:cs="CMU Serif"/>
        </w:rPr>
        <w:t xml:space="preserve"> as Marsh </w:t>
      </w:r>
      <w:r w:rsidR="002044C2">
        <w:rPr>
          <w:rFonts w:ascii="CMU Serif" w:hAnsi="CMU Serif" w:cs="CMU Serif"/>
        </w:rPr>
        <w:t xml:space="preserve">stated once </w:t>
      </w:r>
      <w:r w:rsidR="007A6355">
        <w:rPr>
          <w:rFonts w:ascii="CMU Serif" w:hAnsi="CMU Serif" w:cs="CMU Serif"/>
        </w:rPr>
        <w:t>“C</w:t>
      </w:r>
      <w:r w:rsidR="002044C2" w:rsidRPr="002044C2">
        <w:rPr>
          <w:rFonts w:ascii="CMU Serif" w:hAnsi="CMU Serif" w:cs="CMU Serif"/>
        </w:rPr>
        <w:t>onventional CFA [confirmatory factor analysis] goodness of fit</w:t>
      </w:r>
      <w:r w:rsidR="002044C2">
        <w:rPr>
          <w:rFonts w:ascii="CMU Serif" w:hAnsi="CMU Serif" w:cs="CMU Serif"/>
        </w:rPr>
        <w:t xml:space="preserve"> </w:t>
      </w:r>
      <w:r w:rsidR="002044C2" w:rsidRPr="002044C2">
        <w:rPr>
          <w:rFonts w:ascii="CMU Serif" w:hAnsi="CMU Serif" w:cs="CMU Serif"/>
        </w:rPr>
        <w:t>criteria are too restrictive</w:t>
      </w:r>
      <w:r w:rsidR="002044C2">
        <w:rPr>
          <w:rFonts w:ascii="CMU Serif" w:hAnsi="CMU Serif" w:cs="CMU Serif"/>
        </w:rPr>
        <w:t xml:space="preserve"> </w:t>
      </w:r>
      <w:r w:rsidR="002044C2" w:rsidRPr="002044C2">
        <w:rPr>
          <w:rFonts w:ascii="CMU Serif" w:hAnsi="CMU Serif" w:cs="CMU Serif"/>
        </w:rPr>
        <w:t>when</w:t>
      </w:r>
      <w:r w:rsidR="002044C2">
        <w:rPr>
          <w:rFonts w:ascii="CMU Serif" w:hAnsi="CMU Serif" w:cs="CMU Serif"/>
        </w:rPr>
        <w:t xml:space="preserve"> </w:t>
      </w:r>
      <w:r w:rsidR="002044C2" w:rsidRPr="002044C2">
        <w:rPr>
          <w:rFonts w:ascii="CMU Serif" w:hAnsi="CMU Serif" w:cs="CMU Serif"/>
        </w:rPr>
        <w:t>applied</w:t>
      </w:r>
      <w:r w:rsidR="002044C2">
        <w:rPr>
          <w:rFonts w:ascii="CMU Serif" w:hAnsi="CMU Serif" w:cs="CMU Serif"/>
        </w:rPr>
        <w:t xml:space="preserve"> </w:t>
      </w:r>
      <w:r w:rsidR="002044C2" w:rsidRPr="002044C2">
        <w:rPr>
          <w:rFonts w:ascii="CMU Serif" w:hAnsi="CMU Serif" w:cs="CMU Serif"/>
        </w:rPr>
        <w:t>to most multifactor rating instruments. It is</w:t>
      </w:r>
      <w:r w:rsidR="002044C2">
        <w:rPr>
          <w:rFonts w:ascii="CMU Serif" w:hAnsi="CMU Serif" w:cs="CMU Serif"/>
        </w:rPr>
        <w:t xml:space="preserve"> </w:t>
      </w:r>
      <w:r w:rsidR="002044C2" w:rsidRPr="002044C2">
        <w:rPr>
          <w:rFonts w:ascii="CMU Serif" w:hAnsi="CMU Serif" w:cs="CMU Serif"/>
        </w:rPr>
        <w:t>my</w:t>
      </w:r>
      <w:r w:rsidR="002044C2">
        <w:rPr>
          <w:rFonts w:ascii="CMU Serif" w:hAnsi="CMU Serif" w:cs="CMU Serif"/>
        </w:rPr>
        <w:t xml:space="preserve"> </w:t>
      </w:r>
      <w:r w:rsidR="002044C2" w:rsidRPr="002044C2">
        <w:rPr>
          <w:rFonts w:ascii="CMU Serif" w:hAnsi="CMU Serif" w:cs="CMU Serif"/>
        </w:rPr>
        <w:t>experience that it</w:t>
      </w:r>
      <w:r w:rsidR="002044C2">
        <w:rPr>
          <w:rFonts w:ascii="CMU Serif" w:hAnsi="CMU Serif" w:cs="CMU Serif"/>
        </w:rPr>
        <w:t xml:space="preserve"> </w:t>
      </w:r>
      <w:r w:rsidR="002044C2" w:rsidRPr="002044C2">
        <w:rPr>
          <w:rFonts w:ascii="CMU Serif" w:hAnsi="CMU Serif" w:cs="CMU Serif"/>
        </w:rPr>
        <w:t>is almost impossible to get</w:t>
      </w:r>
      <w:r w:rsidR="002044C2">
        <w:rPr>
          <w:rFonts w:ascii="CMU Serif" w:hAnsi="CMU Serif" w:cs="CMU Serif"/>
        </w:rPr>
        <w:t xml:space="preserve"> </w:t>
      </w:r>
      <w:r w:rsidR="002044C2" w:rsidRPr="002044C2">
        <w:rPr>
          <w:rFonts w:ascii="CMU Serif" w:hAnsi="CMU Serif" w:cs="CMU Serif"/>
        </w:rPr>
        <w:t>an</w:t>
      </w:r>
      <w:r w:rsidR="002044C2">
        <w:rPr>
          <w:rFonts w:ascii="CMU Serif" w:hAnsi="CMU Serif" w:cs="CMU Serif"/>
        </w:rPr>
        <w:t xml:space="preserve"> </w:t>
      </w:r>
      <w:r w:rsidR="002044C2" w:rsidRPr="002044C2">
        <w:rPr>
          <w:rFonts w:ascii="CMU Serif" w:hAnsi="CMU Serif" w:cs="CMU Serif"/>
        </w:rPr>
        <w:t>acceptable fit</w:t>
      </w:r>
      <w:r w:rsidR="002044C2">
        <w:rPr>
          <w:rFonts w:ascii="CMU Serif" w:hAnsi="CMU Serif" w:cs="CMU Serif"/>
        </w:rPr>
        <w:t>”</w:t>
      </w:r>
      <w:r w:rsidR="007A6355">
        <w:rPr>
          <w:rFonts w:ascii="CMU Serif" w:hAnsi="CMU Serif" w:cs="CMU Serif"/>
        </w:rPr>
        <w:t xml:space="preserve"> (</w:t>
      </w:r>
      <w:hyperlink r:id="rId10" w:history="1">
        <w:r w:rsidR="007A6355" w:rsidRPr="007A6355">
          <w:rPr>
            <w:rStyle w:val="Hyperlink"/>
            <w:rFonts w:ascii="CMU Serif" w:hAnsi="CMU Serif" w:cs="CMU Serif"/>
          </w:rPr>
          <w:t>SC</w:t>
        </w:r>
      </w:hyperlink>
      <w:r w:rsidR="007A6355">
        <w:rPr>
          <w:rFonts w:ascii="CMU Serif" w:hAnsi="CMU Serif" w:cs="CMU Serif"/>
        </w:rPr>
        <w:t>)</w:t>
      </w:r>
      <w:r w:rsidR="00A40EAA">
        <w:rPr>
          <w:rFonts w:ascii="CMU Serif" w:hAnsi="CMU Serif" w:cs="CMU Serif"/>
        </w:rPr>
        <w:t>.</w:t>
      </w:r>
    </w:p>
    <w:p w14:paraId="3D5E0981" w14:textId="65288710" w:rsidR="00A15816" w:rsidRPr="00D23B92" w:rsidRDefault="008304C3" w:rsidP="00EF64BD">
      <w:pPr>
        <w:autoSpaceDE w:val="0"/>
        <w:autoSpaceDN w:val="0"/>
        <w:adjustRightInd w:val="0"/>
        <w:spacing w:after="0" w:line="480" w:lineRule="auto"/>
        <w:ind w:firstLine="360"/>
        <w:rPr>
          <w:rFonts w:ascii="CMU Serif" w:hAnsi="CMU Serif" w:cs="CMU Serif"/>
        </w:rPr>
      </w:pPr>
      <w:r w:rsidRPr="00D23B92">
        <w:rPr>
          <w:rFonts w:ascii="CMU Serif" w:hAnsi="CMU Serif" w:cs="CMU Serif"/>
        </w:rPr>
        <w:t xml:space="preserve">The EFA results, on the other hand, for the USESCH variable revealed that not all the items are measuring the same one construct, </w:t>
      </w:r>
      <w:r w:rsidRPr="00EF64BD">
        <w:rPr>
          <w:rFonts w:ascii="CMU Serif" w:hAnsi="CMU Serif" w:cs="CMU Serif"/>
          <w:shd w:val="clear" w:color="auto" w:fill="ED7D31" w:themeFill="accent2"/>
        </w:rPr>
        <w:t xml:space="preserve">Figure </w:t>
      </w:r>
      <w:r w:rsidR="00EF64BD" w:rsidRPr="00EF64BD">
        <w:rPr>
          <w:rFonts w:ascii="CMU Serif" w:hAnsi="CMU Serif" w:cs="CMU Serif"/>
          <w:shd w:val="clear" w:color="auto" w:fill="ED7D31" w:themeFill="accent2"/>
        </w:rPr>
        <w:t>7</w:t>
      </w:r>
      <w:r w:rsidRPr="00D23B92">
        <w:rPr>
          <w:rFonts w:ascii="CMU Serif" w:hAnsi="CMU Serif" w:cs="CMU Serif"/>
        </w:rPr>
        <w:t xml:space="preserve"> shows that two items, namely, chatting online at school and using email at school are indicating the possibility of two constructs for this variable.</w:t>
      </w:r>
      <w:r w:rsidR="00AD30DD" w:rsidRPr="00D23B92">
        <w:rPr>
          <w:rFonts w:ascii="CMU Serif" w:hAnsi="CMU Serif" w:cs="CMU Serif"/>
        </w:rPr>
        <w:t xml:space="preserve"> However, </w:t>
      </w:r>
      <w:r w:rsidR="00D23B92" w:rsidRPr="00D23B92">
        <w:rPr>
          <w:rFonts w:ascii="CMU Serif" w:hAnsi="CMU Serif" w:cs="CMU Serif"/>
        </w:rPr>
        <w:t>further tests do not support such suggestion,</w:t>
      </w:r>
      <w:r w:rsidR="00D23B92">
        <w:rPr>
          <w:rFonts w:ascii="CMU Serif" w:hAnsi="CMU Serif" w:cs="CMU Serif"/>
        </w:rPr>
        <w:t xml:space="preserve"> for one test, the Kaiser-Guttman</w:t>
      </w:r>
      <w:r w:rsidR="00447DC9">
        <w:rPr>
          <w:rFonts w:ascii="CMU Serif" w:hAnsi="CMU Serif" w:cs="CMU Serif"/>
        </w:rPr>
        <w:t xml:space="preserve"> (</w:t>
      </w:r>
      <w:hyperlink r:id="rId11" w:history="1">
        <w:r w:rsidR="00447DC9" w:rsidRPr="00447DC9">
          <w:rPr>
            <w:rStyle w:val="Hyperlink"/>
            <w:rFonts w:ascii="CMU Serif" w:hAnsi="CMU Serif" w:cs="CMU Serif"/>
          </w:rPr>
          <w:t>SC</w:t>
        </w:r>
      </w:hyperlink>
      <w:r w:rsidR="00447DC9">
        <w:rPr>
          <w:rFonts w:ascii="CMU Serif" w:hAnsi="CMU Serif" w:cs="CMU Serif"/>
        </w:rPr>
        <w:t>)</w:t>
      </w:r>
      <w:r w:rsidR="00D23B92">
        <w:rPr>
          <w:rFonts w:ascii="CMU Serif" w:hAnsi="CMU Serif" w:cs="CMU Serif"/>
        </w:rPr>
        <w:t xml:space="preserve"> rule favors one construct over two (eigenvalue for one construct is 4.0 while 0.34 for two constructs)</w:t>
      </w:r>
      <w:r w:rsidR="00447DC9">
        <w:rPr>
          <w:rFonts w:ascii="CMU Serif" w:hAnsi="CMU Serif" w:cs="CMU Serif"/>
        </w:rPr>
        <w:t xml:space="preserve"> (</w:t>
      </w:r>
      <w:r w:rsidR="00D23B92">
        <w:rPr>
          <w:rFonts w:ascii="CMU Serif" w:hAnsi="CMU Serif" w:cs="CMU Serif"/>
        </w:rPr>
        <w:t xml:space="preserve">, for the other test, the scree plot of Principal Component Analysis (PCA) also favor one construct model as </w:t>
      </w:r>
      <w:r w:rsidR="00962A79" w:rsidRPr="00962A79">
        <w:rPr>
          <w:rFonts w:ascii="CMU Serif" w:hAnsi="CMU Serif" w:cs="CMU Serif"/>
          <w:shd w:val="clear" w:color="auto" w:fill="ED7D31" w:themeFill="accent2"/>
        </w:rPr>
        <w:t>F</w:t>
      </w:r>
      <w:r w:rsidR="00D23B92" w:rsidRPr="00962A79">
        <w:rPr>
          <w:rFonts w:ascii="CMU Serif" w:hAnsi="CMU Serif" w:cs="CMU Serif"/>
          <w:shd w:val="clear" w:color="auto" w:fill="ED7D31" w:themeFill="accent2"/>
        </w:rPr>
        <w:t xml:space="preserve">igure </w:t>
      </w:r>
      <w:r w:rsidR="00962A79" w:rsidRPr="00962A79">
        <w:rPr>
          <w:rFonts w:ascii="CMU Serif" w:hAnsi="CMU Serif" w:cs="CMU Serif"/>
          <w:shd w:val="clear" w:color="auto" w:fill="ED7D31" w:themeFill="accent2"/>
        </w:rPr>
        <w:t>8</w:t>
      </w:r>
      <w:r w:rsidR="00D23B92">
        <w:rPr>
          <w:rFonts w:ascii="CMU Serif" w:hAnsi="CMU Serif" w:cs="CMU Serif"/>
        </w:rPr>
        <w:t xml:space="preserve"> shows.</w:t>
      </w:r>
    </w:p>
    <w:p w14:paraId="5B9F6B3C" w14:textId="77777777" w:rsidR="00386A7E" w:rsidRDefault="00386A7E"/>
    <w:p w14:paraId="0DE1C0AE" w14:textId="77777777" w:rsidR="000C68F0" w:rsidRDefault="000C68F0"/>
    <w:p w14:paraId="28A98B8F" w14:textId="77777777" w:rsidR="000C68F0" w:rsidRDefault="000C68F0"/>
    <w:sectPr w:rsidR="000C68F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10BCC"/>
    <w:multiLevelType w:val="hybridMultilevel"/>
    <w:tmpl w:val="80105C6C"/>
    <w:lvl w:ilvl="0" w:tplc="FE1E693E">
      <w:start w:val="1"/>
      <w:numFmt w:val="decimal"/>
      <w:lvlText w:val="%1."/>
      <w:lvlJc w:val="left"/>
      <w:pPr>
        <w:ind w:left="720" w:hanging="360"/>
      </w:pPr>
      <w:rPr>
        <w:rFonts w:cs="Times New Roman" w:hint="default"/>
        <w:b w:val="0"/>
        <w:bCs w:val="0"/>
        <w:sz w:val="2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C5C008D"/>
    <w:multiLevelType w:val="hybridMultilevel"/>
    <w:tmpl w:val="3DE284A8"/>
    <w:lvl w:ilvl="0" w:tplc="86C01A20">
      <w:start w:val="1"/>
      <w:numFmt w:val="upperRoman"/>
      <w:lvlText w:val="%1."/>
      <w:lvlJc w:val="left"/>
      <w:pPr>
        <w:ind w:left="720" w:hanging="360"/>
      </w:pPr>
      <w:rPr>
        <w:rFonts w:ascii="CMU Serif" w:eastAsiaTheme="minorEastAsia" w:hAnsi="CMU Serif" w:cs="CMU Serif"/>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D19475B"/>
    <w:multiLevelType w:val="hybridMultilevel"/>
    <w:tmpl w:val="9C525C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0950DC7"/>
    <w:multiLevelType w:val="hybridMultilevel"/>
    <w:tmpl w:val="C05E7B24"/>
    <w:lvl w:ilvl="0" w:tplc="B61256DC">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34A029B7"/>
    <w:multiLevelType w:val="hybridMultilevel"/>
    <w:tmpl w:val="67826F50"/>
    <w:lvl w:ilvl="0" w:tplc="218C5AB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6EDD59A0"/>
    <w:multiLevelType w:val="multilevel"/>
    <w:tmpl w:val="243C69B6"/>
    <w:lvl w:ilvl="0">
      <w:start w:val="4"/>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74095B29"/>
    <w:multiLevelType w:val="hybridMultilevel"/>
    <w:tmpl w:val="DF22DE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4"/>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B3024"/>
    <w:rsid w:val="00047C17"/>
    <w:rsid w:val="000615AB"/>
    <w:rsid w:val="000A167A"/>
    <w:rsid w:val="000A3F9E"/>
    <w:rsid w:val="000B1EBF"/>
    <w:rsid w:val="000C68F0"/>
    <w:rsid w:val="000F77E6"/>
    <w:rsid w:val="00101D43"/>
    <w:rsid w:val="0010635B"/>
    <w:rsid w:val="00144345"/>
    <w:rsid w:val="001C2E92"/>
    <w:rsid w:val="001E2C2E"/>
    <w:rsid w:val="002044C2"/>
    <w:rsid w:val="00256AA1"/>
    <w:rsid w:val="002B743A"/>
    <w:rsid w:val="002F130D"/>
    <w:rsid w:val="00374E5D"/>
    <w:rsid w:val="00386A7E"/>
    <w:rsid w:val="003F0827"/>
    <w:rsid w:val="00447DC9"/>
    <w:rsid w:val="00465DCA"/>
    <w:rsid w:val="00483BB7"/>
    <w:rsid w:val="004A67F0"/>
    <w:rsid w:val="004B36B8"/>
    <w:rsid w:val="004B68BB"/>
    <w:rsid w:val="004C1DE5"/>
    <w:rsid w:val="004C6DB1"/>
    <w:rsid w:val="004E0A9F"/>
    <w:rsid w:val="00515FC1"/>
    <w:rsid w:val="005273BA"/>
    <w:rsid w:val="00541EE9"/>
    <w:rsid w:val="00545546"/>
    <w:rsid w:val="005B4877"/>
    <w:rsid w:val="00601CB1"/>
    <w:rsid w:val="00614BB5"/>
    <w:rsid w:val="00632593"/>
    <w:rsid w:val="00644BE4"/>
    <w:rsid w:val="006C7EE4"/>
    <w:rsid w:val="006E52B5"/>
    <w:rsid w:val="0074330E"/>
    <w:rsid w:val="007A6355"/>
    <w:rsid w:val="007E2660"/>
    <w:rsid w:val="008304C3"/>
    <w:rsid w:val="00842B79"/>
    <w:rsid w:val="008514AF"/>
    <w:rsid w:val="00936EBB"/>
    <w:rsid w:val="00961700"/>
    <w:rsid w:val="00962A79"/>
    <w:rsid w:val="00980F1E"/>
    <w:rsid w:val="009F4334"/>
    <w:rsid w:val="00A15816"/>
    <w:rsid w:val="00A40EAA"/>
    <w:rsid w:val="00A42D74"/>
    <w:rsid w:val="00AB3024"/>
    <w:rsid w:val="00AD30DD"/>
    <w:rsid w:val="00AE1C88"/>
    <w:rsid w:val="00B21683"/>
    <w:rsid w:val="00B70E2B"/>
    <w:rsid w:val="00B86FDF"/>
    <w:rsid w:val="00BC4244"/>
    <w:rsid w:val="00C75286"/>
    <w:rsid w:val="00CA1F61"/>
    <w:rsid w:val="00CB064D"/>
    <w:rsid w:val="00CD1EE5"/>
    <w:rsid w:val="00CF48D4"/>
    <w:rsid w:val="00D23B92"/>
    <w:rsid w:val="00D77954"/>
    <w:rsid w:val="00D806D2"/>
    <w:rsid w:val="00E22787"/>
    <w:rsid w:val="00E318D6"/>
    <w:rsid w:val="00E417AB"/>
    <w:rsid w:val="00E5751D"/>
    <w:rsid w:val="00E878EF"/>
    <w:rsid w:val="00EA4F7D"/>
    <w:rsid w:val="00EF64BD"/>
    <w:rsid w:val="00F86398"/>
    <w:rsid w:val="00FB29A1"/>
    <w:rsid w:val="00FB5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901FF4"/>
  <w14:defaultImageDpi w14:val="0"/>
  <w15:docId w15:val="{45578F15-234C-4D84-9537-AB9D7378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024"/>
    <w:rPr>
      <w:rFonts w:cs="Times New Roman"/>
      <w:color w:val="0563C1" w:themeColor="hyperlink"/>
      <w:u w:val="single"/>
    </w:rPr>
  </w:style>
  <w:style w:type="character" w:styleId="UnresolvedMention">
    <w:name w:val="Unresolved Mention"/>
    <w:basedOn w:val="DefaultParagraphFont"/>
    <w:uiPriority w:val="99"/>
    <w:semiHidden/>
    <w:unhideWhenUsed/>
    <w:rsid w:val="00541EE9"/>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64382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kademika.no/multilevel-analysis/snijders-tom-ab/bosker-roel/978184920201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oks.google.no/books?hl=en&amp;lr=&amp;id=mdwt7ibSGUYC&amp;oi=fnd&amp;pg=PP14&amp;ots=fzMnH1JX9_&amp;sig=S-6TW6ZQIdBA2w55SZxR75yR-74&amp;redir_es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Webdrive\UiO-hjemmeomr&#229;de\pc\Dokumenter\MSc\Thesis\Write\Master\Byrne,%20B.%20M.%20(2010).%20Structural%20equation%20modeling%20with%20AMOS:%20Basic%20concepts,%20applications,%20and%20programming.%20New%20York:%20Routledge." TargetMode="External"/><Relationship Id="rId11" Type="http://schemas.openxmlformats.org/officeDocument/2006/relationships/hyperlink" Target="file:///\\Webdrive\UiO-hjemmeomr&#229;de\pc\Dokumenter\MSc\Thesis\Write\Master\Kaiser,%20H.%20F.%20(1991).%20Coefficient%20Alpha%20for%20a%20Principal%20Component%20and%20the%20Kaiser-Guttman%20Rule.%20Psychological%20Reports,%2068(3),%20855&#8211;858." TargetMode="External"/><Relationship Id="rId5" Type="http://schemas.openxmlformats.org/officeDocument/2006/relationships/hyperlink" Target="file:///\\Webdrive\UiO-hjemmeomr&#229;de\pc\Dokumenter\MSc\Thesis\Write\Master\Hair,%20J.,%20Black,%20W.%20C.,%20Babin,%20B.%20J.%20&amp;%20Anderson,%20R.%20E.%20(2010)%20Multivariate%20data%20analysis%20(7th%20ed.).%20Upper%20Saddle%20River,%20New%20Jersey:%20Pearson%20Educational%20International." TargetMode="External"/><Relationship Id="rId10" Type="http://schemas.openxmlformats.org/officeDocument/2006/relationships/hyperlink" Target="file:///\\Webdrive\UiO-hjemmeomr&#229;de\pc\Dokumenter\MSc\Thesis\Write\Master\Herbert%20W.%20Marsh%20,%20Kit-Tai%20Hau%20&amp;%20Zhonglin%20Wen%20(2004)%20In%20Search%20of%20Golden" TargetMode="External"/><Relationship Id="rId4" Type="http://schemas.openxmlformats.org/officeDocument/2006/relationships/webSettings" Target="webSettings.xml"/><Relationship Id="rId9" Type="http://schemas.openxmlformats.org/officeDocument/2006/relationships/hyperlink" Target="file:///\\Webdrive\UiO-hjemmeomr&#229;de\pc\Dokumenter\MSc\Thesis\Write\Master\Nunnally,%20J.%20C.%20(1994).%20Psychometric%20theory%203E.%20Tata%20McGraw-hill%20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MUDAR HUSSIEN</dc:creator>
  <cp:keywords/>
  <dc:description/>
  <cp:lastModifiedBy>MUDAR HUSSIEN</cp:lastModifiedBy>
  <cp:revision>3</cp:revision>
  <dcterms:created xsi:type="dcterms:W3CDTF">2021-10-05T00:42:00Z</dcterms:created>
  <dcterms:modified xsi:type="dcterms:W3CDTF">2021-10-05T00:56:00Z</dcterms:modified>
</cp:coreProperties>
</file>