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B3DE" w14:textId="77777777" w:rsidR="00FE686A" w:rsidRDefault="00FE686A">
      <w:pPr>
        <w:spacing w:before="200" w:after="80"/>
        <w:jc w:val="center"/>
        <w:rPr>
          <w:rFonts w:hint="eastAsia"/>
        </w:rPr>
      </w:pPr>
    </w:p>
    <w:p w14:paraId="4D862796" w14:textId="77777777" w:rsidR="00FE686A" w:rsidRDefault="008F34E3">
      <w:pPr>
        <w:spacing w:after="0"/>
        <w:jc w:val="center"/>
        <w:rPr>
          <w:rFonts w:hint="eastAsia"/>
        </w:rPr>
      </w:pPr>
      <w:r>
        <w:rPr>
          <w:b/>
          <w:color w:val="13304F"/>
          <w:sz w:val="60"/>
        </w:rPr>
        <w:t>QUISQUEYA ENERGY HUB</w:t>
      </w:r>
    </w:p>
    <w:p w14:paraId="2EA97A76" w14:textId="77777777" w:rsidR="00FE686A" w:rsidRDefault="008F34E3">
      <w:pPr>
        <w:jc w:val="center"/>
        <w:rPr>
          <w:rFonts w:hint="eastAsia"/>
        </w:rPr>
      </w:pPr>
      <w:r>
        <w:rPr>
          <w:color w:val="6E6A62"/>
          <w:sz w:val="22"/>
        </w:rPr>
        <w:t>Las Charcas, Azua · República Dominicana</w:t>
      </w:r>
    </w:p>
    <w:p w14:paraId="36CBD9F5" w14:textId="77777777" w:rsidR="00FE686A" w:rsidRDefault="008F34E3">
      <w:pPr>
        <w:spacing w:after="200"/>
        <w:jc w:val="center"/>
        <w:rPr>
          <w:rFonts w:hint="eastAsia"/>
        </w:rPr>
      </w:pPr>
      <w:r>
        <w:rPr>
          <w:b/>
          <w:color w:val="13304F"/>
          <w:sz w:val="24"/>
        </w:rPr>
        <w:t>Planta de Ciclo Combinado de 450 MW · Energy First</w:t>
      </w:r>
    </w:p>
    <w:tbl>
      <w:tblPr>
        <w:tblW w:w="0" w:type="auto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E686A" w14:paraId="14B9BD82" w14:textId="77777777">
        <w:trPr>
          <w:jc w:val="center"/>
        </w:trPr>
        <w:tc>
          <w:tcPr>
            <w:tcW w:w="2556" w:type="dxa"/>
            <w:shd w:val="clear" w:color="auto" w:fill="13304F"/>
          </w:tcPr>
          <w:p w14:paraId="457564B8" w14:textId="77777777" w:rsidR="00FE686A" w:rsidRDefault="008F34E3">
            <w:pPr>
              <w:jc w:val="center"/>
              <w:rPr>
                <w:rFonts w:hint="eastAsia"/>
              </w:rPr>
            </w:pPr>
            <w:r>
              <w:rPr>
                <w:rFonts w:ascii="Georgia" w:hAnsi="Georgia"/>
                <w:b/>
                <w:color w:val="C9A96A"/>
                <w:sz w:val="30"/>
              </w:rPr>
              <w:t>US$ 1.3 M</w:t>
            </w:r>
          </w:p>
        </w:tc>
        <w:tc>
          <w:tcPr>
            <w:tcW w:w="2556" w:type="dxa"/>
            <w:shd w:val="clear" w:color="auto" w:fill="13304F"/>
          </w:tcPr>
          <w:p w14:paraId="43A5C315" w14:textId="77777777" w:rsidR="00FE686A" w:rsidRDefault="008F34E3">
            <w:pPr>
              <w:jc w:val="center"/>
              <w:rPr>
                <w:rFonts w:hint="eastAsia"/>
              </w:rPr>
            </w:pPr>
            <w:r>
              <w:rPr>
                <w:rFonts w:ascii="Georgia" w:hAnsi="Georgia"/>
                <w:b/>
                <w:color w:val="FFFFFF"/>
                <w:sz w:val="30"/>
              </w:rPr>
              <w:t>450 MW</w:t>
            </w:r>
          </w:p>
        </w:tc>
        <w:tc>
          <w:tcPr>
            <w:tcW w:w="2556" w:type="dxa"/>
            <w:shd w:val="clear" w:color="auto" w:fill="13304F"/>
          </w:tcPr>
          <w:p w14:paraId="4939C71B" w14:textId="77777777" w:rsidR="00FE686A" w:rsidRDefault="008F34E3">
            <w:pPr>
              <w:jc w:val="center"/>
              <w:rPr>
                <w:rFonts w:hint="eastAsia"/>
              </w:rPr>
            </w:pPr>
            <w:r>
              <w:rPr>
                <w:rFonts w:ascii="Georgia" w:hAnsi="Georgia"/>
                <w:b/>
                <w:color w:val="FFFFFF"/>
                <w:sz w:val="30"/>
              </w:rPr>
              <w:t>Agua de mar + FSU</w:t>
            </w:r>
          </w:p>
        </w:tc>
        <w:tc>
          <w:tcPr>
            <w:tcW w:w="2556" w:type="dxa"/>
            <w:shd w:val="clear" w:color="auto" w:fill="13304F"/>
          </w:tcPr>
          <w:p w14:paraId="489845C7" w14:textId="77777777" w:rsidR="00FE686A" w:rsidRDefault="008F34E3">
            <w:pPr>
              <w:jc w:val="center"/>
              <w:rPr>
                <w:rFonts w:hint="eastAsia"/>
              </w:rPr>
            </w:pPr>
            <w:r>
              <w:rPr>
                <w:rFonts w:ascii="Georgia" w:hAnsi="Georgia"/>
                <w:b/>
                <w:color w:val="FFFFFF"/>
                <w:sz w:val="30"/>
              </w:rPr>
              <w:t>18 meses</w:t>
            </w:r>
          </w:p>
        </w:tc>
      </w:tr>
      <w:tr w:rsidR="00FE686A" w14:paraId="0D505404" w14:textId="77777777">
        <w:trPr>
          <w:jc w:val="center"/>
        </w:trPr>
        <w:tc>
          <w:tcPr>
            <w:tcW w:w="2556" w:type="dxa"/>
            <w:shd w:val="clear" w:color="auto" w:fill="F6F2EB"/>
          </w:tcPr>
          <w:p w14:paraId="34A7F261" w14:textId="77777777" w:rsidR="00FE686A" w:rsidRDefault="008F34E3">
            <w:pPr>
              <w:jc w:val="center"/>
              <w:rPr>
                <w:rFonts w:hint="eastAsia"/>
              </w:rPr>
            </w:pPr>
            <w:r>
              <w:rPr>
                <w:color w:val="13304F"/>
                <w:sz w:val="16"/>
              </w:rPr>
              <w:t>Capital semilla (6 tramos, contra hitos)</w:t>
            </w:r>
          </w:p>
        </w:tc>
        <w:tc>
          <w:tcPr>
            <w:tcW w:w="2556" w:type="dxa"/>
            <w:shd w:val="clear" w:color="auto" w:fill="F6F2EB"/>
          </w:tcPr>
          <w:p w14:paraId="2A0A3806" w14:textId="77777777" w:rsidR="00FE686A" w:rsidRDefault="008F34E3">
            <w:pPr>
              <w:jc w:val="center"/>
              <w:rPr>
                <w:rFonts w:hint="eastAsia"/>
              </w:rPr>
            </w:pPr>
            <w:r>
              <w:rPr>
                <w:color w:val="13304F"/>
                <w:sz w:val="16"/>
              </w:rPr>
              <w:t>CCGT, arranque por etapas</w:t>
            </w:r>
          </w:p>
        </w:tc>
        <w:tc>
          <w:tcPr>
            <w:tcW w:w="2556" w:type="dxa"/>
            <w:shd w:val="clear" w:color="auto" w:fill="F6F2EB"/>
          </w:tcPr>
          <w:p w14:paraId="65140E47" w14:textId="77777777" w:rsidR="00FE686A" w:rsidRDefault="008F34E3">
            <w:pPr>
              <w:jc w:val="center"/>
              <w:rPr>
                <w:rFonts w:hint="eastAsia"/>
              </w:rPr>
            </w:pPr>
            <w:r>
              <w:rPr>
                <w:color w:val="13304F"/>
                <w:sz w:val="16"/>
              </w:rPr>
              <w:t xml:space="preserve">Refrigeración </w:t>
            </w:r>
            <w:r>
              <w:rPr>
                <w:color w:val="13304F"/>
                <w:sz w:val="16"/>
              </w:rPr>
              <w:t>eficiente + suministro ágil</w:t>
            </w:r>
          </w:p>
        </w:tc>
        <w:tc>
          <w:tcPr>
            <w:tcW w:w="2556" w:type="dxa"/>
            <w:shd w:val="clear" w:color="auto" w:fill="F6F2EB"/>
          </w:tcPr>
          <w:p w14:paraId="4D749A4D" w14:textId="77777777" w:rsidR="00FE686A" w:rsidRDefault="008F34E3">
            <w:pPr>
              <w:jc w:val="center"/>
              <w:rPr>
                <w:rFonts w:hint="eastAsia"/>
              </w:rPr>
            </w:pPr>
            <w:r>
              <w:rPr>
                <w:color w:val="13304F"/>
                <w:sz w:val="16"/>
              </w:rPr>
              <w:t>A concesión definitiva</w:t>
            </w:r>
          </w:p>
        </w:tc>
      </w:tr>
    </w:tbl>
    <w:p w14:paraId="5DB3E156" w14:textId="77777777" w:rsidR="00FE686A" w:rsidRDefault="00FE686A">
      <w:pPr>
        <w:spacing w:after="40"/>
        <w:rPr>
          <w:rFonts w:hint="eastAsia"/>
        </w:rPr>
      </w:pPr>
    </w:p>
    <w:p w14:paraId="58D88FCF" w14:textId="77777777" w:rsidR="00FE686A" w:rsidRDefault="008F34E3">
      <w:pPr>
        <w:jc w:val="center"/>
        <w:rPr>
          <w:rFonts w:hint="eastAsia"/>
        </w:rPr>
      </w:pPr>
      <w:r>
        <w:rPr>
          <w:sz w:val="20"/>
        </w:rPr>
        <w:t>ORGM E.I.R.L. · Tony Reyes · +1 (829) 988-3375 · tonydreyes@or-gm.com</w:t>
      </w:r>
    </w:p>
    <w:p w14:paraId="0711E3CD" w14:textId="77777777" w:rsidR="00FE686A" w:rsidRDefault="008F34E3">
      <w:pPr>
        <w:rPr>
          <w:rFonts w:hint="eastAsia"/>
        </w:rPr>
      </w:pPr>
      <w:r>
        <w:br w:type="page"/>
      </w:r>
    </w:p>
    <w:p w14:paraId="545CDCA7" w14:textId="77777777" w:rsidR="00FE686A" w:rsidRDefault="008F34E3">
      <w:pPr>
        <w:pBdr>
          <w:bottom w:val="single" w:sz="12" w:space="2" w:color="C9A96A"/>
        </w:pBdr>
        <w:spacing w:before="240"/>
        <w:rPr>
          <w:rFonts w:hint="eastAsia"/>
        </w:rPr>
      </w:pPr>
      <w:r>
        <w:rPr>
          <w:rFonts w:ascii="Georgia" w:hAnsi="Georgia"/>
          <w:b/>
          <w:color w:val="13304F"/>
          <w:sz w:val="30"/>
        </w:rPr>
        <w:lastRenderedPageBreak/>
        <w:t>1. Idea central: energía primero, infraestructura ágil</w:t>
      </w:r>
    </w:p>
    <w:p w14:paraId="0989E0D1" w14:textId="77777777" w:rsidR="00FE686A" w:rsidRDefault="008F34E3">
      <w:pPr>
        <w:rPr>
          <w:rFonts w:hint="eastAsia"/>
        </w:rPr>
      </w:pPr>
      <w:r>
        <w:rPr>
          <w:b/>
        </w:rPr>
        <w:t>Quisqueya Energy Hub</w:t>
      </w:r>
      <w:r>
        <w:t xml:space="preserve"> es una central de ciclo combinado de </w:t>
      </w:r>
      <w:r>
        <w:rPr>
          <w:b/>
        </w:rPr>
        <w:t>450 MW</w:t>
      </w:r>
      <w:r>
        <w:t xml:space="preserve"> en Las Charcas, Azua, con una visión </w:t>
      </w:r>
      <w:r>
        <w:rPr>
          <w:b/>
        </w:rPr>
        <w:t>Energy First</w:t>
      </w:r>
      <w:r>
        <w:t>: instalamos la energía firme primero, y la carga (centros de datos, AI hub e industria) se conecta después, sobre un nodo con respaldo firme.</w:t>
      </w:r>
    </w:p>
    <w:p w14:paraId="098265DB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>Energía firme, efic</w:t>
      </w:r>
      <w:r>
        <w:rPr>
          <w:b/>
        </w:rPr>
        <w:t>iente y sin agua dulce.</w:t>
      </w:r>
      <w:r>
        <w:t xml:space="preserve"> Refrigeración por </w:t>
      </w:r>
      <w:r>
        <w:rPr>
          <w:b/>
        </w:rPr>
        <w:t>agua de mar</w:t>
      </w:r>
      <w:r>
        <w:t>, con toma y tubería de ~3 km. Eso elimina el consumo de agua dulce en un valle semiárido y mejora el rendimiento térmico (6 320 Btu/kWh) frente a ACC (6 500).</w:t>
      </w:r>
    </w:p>
    <w:p w14:paraId="6A8A3150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 xml:space="preserve">Suministro de gas ágil y </w:t>
      </w:r>
      <w:r>
        <w:rPr>
          <w:b/>
        </w:rPr>
        <w:t>estructurado.</w:t>
      </w:r>
      <w:r>
        <w:t xml:space="preserve"> Se contempla una </w:t>
      </w:r>
      <w:r>
        <w:rPr>
          <w:b/>
        </w:rPr>
        <w:t>terminal flotante FSU</w:t>
      </w:r>
      <w:r>
        <w:t xml:space="preserve"> (Floating Storage and Regasification Unit) amarrada a ~3 km de la planta. El costo de esa infraestructura </w:t>
      </w:r>
      <w:r>
        <w:rPr>
          <w:b/>
        </w:rPr>
        <w:t>no se carga al CAPEX de la central</w:t>
      </w:r>
      <w:r>
        <w:t xml:space="preserve">, sino que se recupera en el </w:t>
      </w:r>
      <w:r>
        <w:rPr>
          <w:b/>
        </w:rPr>
        <w:t>precio del suministro de gas</w:t>
      </w:r>
      <w:r>
        <w:t xml:space="preserve"> (estr</w:t>
      </w:r>
      <w:r>
        <w:t>uctura de terceros/merchant). Así se mantiene el CAPEX like-for-like con proyectos puros de generación.</w:t>
      </w:r>
    </w:p>
    <w:p w14:paraId="5292B117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>Arranque por etapas para generar caja desde temprano.</w:t>
      </w:r>
      <w:r>
        <w:t xml:space="preserve"> En lugar de esperar a que lleguen las dos turbinas de gas, </w:t>
      </w:r>
      <w:r>
        <w:rPr>
          <w:b/>
        </w:rPr>
        <w:t>arrancamos con el ciclo de vapor (calde</w:t>
      </w:r>
      <w:r>
        <w:rPr>
          <w:b/>
        </w:rPr>
        <w:t>ra + turbina de vapor)</w:t>
      </w:r>
      <w:r>
        <w:t xml:space="preserve"> para producir energía desde 2029–2030 con </w:t>
      </w:r>
      <w:r>
        <w:rPr>
          <w:b/>
        </w:rPr>
        <w:t>~150 MW</w:t>
      </w:r>
      <w:r>
        <w:t xml:space="preserve">, y </w:t>
      </w:r>
      <w:r>
        <w:rPr>
          <w:b/>
        </w:rPr>
        <w:t>cuando lleguen las turbinas de gas se cierra el ciclo 2×1</w:t>
      </w:r>
      <w:r>
        <w:t xml:space="preserve"> para alcanzar </w:t>
      </w:r>
      <w:r>
        <w:rPr>
          <w:b/>
        </w:rPr>
        <w:t>450 MW</w:t>
      </w:r>
      <w:r>
        <w:t xml:space="preserve"> con máxima eficiencia.</w:t>
      </w:r>
    </w:p>
    <w:p w14:paraId="60A08FD4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>Timeline claro.</w:t>
      </w:r>
      <w:r>
        <w:t xml:space="preserve"> Con </w:t>
      </w:r>
      <w:r>
        <w:rPr>
          <w:b/>
        </w:rPr>
        <w:t>US$ 1.3 M de capital semilla en 6 tramos contra hitos veri</w:t>
      </w:r>
      <w:r>
        <w:rPr>
          <w:b/>
        </w:rPr>
        <w:t>ficados</w:t>
      </w:r>
      <w:r>
        <w:t xml:space="preserve">, </w:t>
      </w:r>
      <w:r>
        <w:rPr>
          <w:b/>
        </w:rPr>
        <w:t>entre 12 y 18 meses</w:t>
      </w:r>
      <w:r>
        <w:t xml:space="preserve"> desde el primer aporte de US$ 200 000 tendremos </w:t>
      </w:r>
      <w:r>
        <w:rPr>
          <w:b/>
        </w:rPr>
        <w:t>la concesión definitiva en mano</w:t>
      </w:r>
      <w:r>
        <w:t>. Ese es el punto de inflexión para pasar a RTB y cerrar financiamiento de construcción.</w:t>
      </w:r>
    </w:p>
    <w:p w14:paraId="0ABA9501" w14:textId="77777777" w:rsidR="00FE686A" w:rsidRDefault="008F34E3">
      <w:pPr>
        <w:rPr>
          <w:rFonts w:hint="eastAsia"/>
        </w:rPr>
      </w:pPr>
      <w:r>
        <w:br w:type="page"/>
      </w:r>
    </w:p>
    <w:p w14:paraId="32F30ACD" w14:textId="77777777" w:rsidR="00FE686A" w:rsidRDefault="008F34E3">
      <w:pPr>
        <w:pBdr>
          <w:bottom w:val="single" w:sz="12" w:space="2" w:color="C9A96A"/>
        </w:pBdr>
        <w:spacing w:before="240"/>
        <w:rPr>
          <w:rFonts w:hint="eastAsia"/>
        </w:rPr>
      </w:pPr>
      <w:r>
        <w:rPr>
          <w:rFonts w:ascii="Georgia" w:hAnsi="Georgia"/>
          <w:b/>
          <w:color w:val="13304F"/>
          <w:sz w:val="30"/>
        </w:rPr>
        <w:lastRenderedPageBreak/>
        <w:t>2. Datos clave del proyecto (Quisqueya Energy Hub)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59"/>
        <w:gridCol w:w="3067"/>
        <w:gridCol w:w="4714"/>
      </w:tblGrid>
      <w:tr w:rsidR="00FE686A" w14:paraId="6DD2CAD2" w14:textId="77777777">
        <w:trPr>
          <w:jc w:val="center"/>
        </w:trPr>
        <w:tc>
          <w:tcPr>
            <w:tcW w:w="2736" w:type="dxa"/>
            <w:shd w:val="clear" w:color="auto" w:fill="13304F"/>
            <w:vAlign w:val="center"/>
          </w:tcPr>
          <w:p w14:paraId="30F2203B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3168" w:type="dxa"/>
            <w:shd w:val="clear" w:color="auto" w:fill="13304F"/>
            <w:vAlign w:val="center"/>
          </w:tcPr>
          <w:p w14:paraId="53CB5565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w="4896" w:type="dxa"/>
            <w:shd w:val="clear" w:color="auto" w:fill="13304F"/>
            <w:vAlign w:val="center"/>
          </w:tcPr>
          <w:p w14:paraId="3A97D4FD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 w:rsidR="00FE686A" w14:paraId="6DD08A77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4ABBBD1F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Potencia neta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F531838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438.8 MW → 441.0 MW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51D4DA89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Agua de mar: mejor eficiencia</w:t>
            </w:r>
          </w:p>
        </w:tc>
      </w:tr>
      <w:tr w:rsidR="00FE686A" w14:paraId="6BDCD1E8" w14:textId="77777777">
        <w:trPr>
          <w:jc w:val="center"/>
        </w:trPr>
        <w:tc>
          <w:tcPr>
            <w:tcW w:w="2736" w:type="dxa"/>
            <w:shd w:val="clear" w:color="auto" w:fill="F6F2EB"/>
            <w:vAlign w:val="center"/>
          </w:tcPr>
          <w:p w14:paraId="745CE91E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Calorífico</w:t>
            </w:r>
          </w:p>
        </w:tc>
        <w:tc>
          <w:tcPr>
            <w:tcW w:w="3168" w:type="dxa"/>
            <w:shd w:val="clear" w:color="auto" w:fill="F6F2EB"/>
            <w:vAlign w:val="center"/>
          </w:tcPr>
          <w:p w14:paraId="2B6827B3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6500 → 6320 Btu/kWh</w:t>
            </w:r>
          </w:p>
        </w:tc>
        <w:tc>
          <w:tcPr>
            <w:tcW w:w="4896" w:type="dxa"/>
            <w:shd w:val="clear" w:color="auto" w:fill="F6F2EB"/>
            <w:vAlign w:val="center"/>
          </w:tcPr>
          <w:p w14:paraId="55C7C4FC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180 Btu/kWh</w:t>
            </w:r>
          </w:p>
        </w:tc>
      </w:tr>
      <w:tr w:rsidR="00FE686A" w14:paraId="4A6662FF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116DB3BC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Suministro de gas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894EFEA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FSU amarrado (3 km)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44C4BBD3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Pagado en el precio del gas, estructura de terceros</w:t>
            </w:r>
          </w:p>
        </w:tc>
      </w:tr>
      <w:tr w:rsidR="00FE686A" w14:paraId="02A0046E" w14:textId="77777777">
        <w:trPr>
          <w:jc w:val="center"/>
        </w:trPr>
        <w:tc>
          <w:tcPr>
            <w:tcW w:w="2736" w:type="dxa"/>
            <w:shd w:val="clear" w:color="auto" w:fill="F6F2EB"/>
            <w:vAlign w:val="center"/>
          </w:tcPr>
          <w:p w14:paraId="54F0A634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Arranque</w:t>
            </w:r>
          </w:p>
        </w:tc>
        <w:tc>
          <w:tcPr>
            <w:tcW w:w="3168" w:type="dxa"/>
            <w:shd w:val="clear" w:color="auto" w:fill="F6F2EB"/>
            <w:vAlign w:val="center"/>
          </w:tcPr>
          <w:p w14:paraId="2F25035D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Etapas: vapor primero (150 MW) →</w:t>
            </w:r>
            <w:r>
              <w:rPr>
                <w:sz w:val="19"/>
              </w:rPr>
              <w:t xml:space="preserve"> 2×1 (450 MW)</w:t>
            </w:r>
          </w:p>
        </w:tc>
        <w:tc>
          <w:tcPr>
            <w:tcW w:w="4896" w:type="dxa"/>
            <w:shd w:val="clear" w:color="auto" w:fill="F6F2EB"/>
            <w:vAlign w:val="center"/>
          </w:tcPr>
          <w:p w14:paraId="39FEE4E5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Genera caja antes de cerrar el ciclo</w:t>
            </w:r>
          </w:p>
        </w:tc>
      </w:tr>
      <w:tr w:rsidR="00FE686A" w14:paraId="2A3EC72C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4FD69E44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Timeline concesión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7827A48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12–18 meses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639A1C5B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Desde primer aporte (US$ 200k)</w:t>
            </w:r>
          </w:p>
        </w:tc>
      </w:tr>
    </w:tbl>
    <w:p w14:paraId="456B9CFB" w14:textId="77777777" w:rsidR="00FE686A" w:rsidRDefault="00FE686A">
      <w:pPr>
        <w:rPr>
          <w:rFonts w:hint="eastAsia"/>
        </w:rPr>
      </w:pPr>
    </w:p>
    <w:p w14:paraId="4C72134A" w14:textId="77777777" w:rsidR="00FE686A" w:rsidRDefault="008F34E3">
      <w:pPr>
        <w:rPr>
          <w:rFonts w:hint="eastAsia"/>
        </w:rPr>
      </w:pPr>
      <w:r>
        <w:br w:type="page"/>
      </w:r>
    </w:p>
    <w:p w14:paraId="4F5ACA02" w14:textId="77777777" w:rsidR="00FE686A" w:rsidRDefault="008F34E3">
      <w:pPr>
        <w:pBdr>
          <w:bottom w:val="single" w:sz="12" w:space="2" w:color="C9A96A"/>
        </w:pBdr>
        <w:spacing w:before="240"/>
        <w:rPr>
          <w:rFonts w:hint="eastAsia"/>
        </w:rPr>
      </w:pPr>
      <w:r>
        <w:rPr>
          <w:rFonts w:ascii="Georgia" w:hAnsi="Georgia"/>
          <w:b/>
          <w:color w:val="13304F"/>
          <w:sz w:val="30"/>
        </w:rPr>
        <w:lastRenderedPageBreak/>
        <w:t>3. Fuentes de ingreso</w:t>
      </w:r>
    </w:p>
    <w:p w14:paraId="69049D8B" w14:textId="77777777" w:rsidR="00FE686A" w:rsidRDefault="008F34E3">
      <w:pPr>
        <w:rPr>
          <w:rFonts w:hint="eastAsia"/>
        </w:rPr>
      </w:pPr>
      <w:r>
        <w:t xml:space="preserve">La planta termica dominicana tiene </w:t>
      </w:r>
      <w:r>
        <w:rPr>
          <w:b/>
        </w:rPr>
        <w:t>tres fuentes principales de ingreso</w:t>
      </w:r>
      <w:r>
        <w:t xml:space="preserve"> que soportan la rentabilidad:</w:t>
      </w:r>
    </w:p>
    <w:p w14:paraId="711CD022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>1. Pago por potencia firme (Capacity Payment).</w:t>
      </w:r>
      <w:r>
        <w:t xml:space="preserve"> Reconocido por la SIE. Rango histórico </w:t>
      </w:r>
      <w:r>
        <w:rPr>
          <w:b/>
        </w:rPr>
        <w:t>US$ 102–126 USD/kW-año</w:t>
      </w:r>
      <w:r>
        <w:t xml:space="preserve">. Nuestro modelo asume </w:t>
      </w:r>
      <w:r>
        <w:rPr>
          <w:b/>
        </w:rPr>
        <w:t>128 USD/kW-año</w:t>
      </w:r>
      <w:r>
        <w:t xml:space="preserve"> (ajustado al marco vigente), lo cual es defendible y alineado con la realidad r</w:t>
      </w:r>
      <w:r>
        <w:t>egulatoria.</w:t>
      </w:r>
    </w:p>
    <w:p w14:paraId="7969A51B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>2. Ingreso por energía.</w:t>
      </w:r>
      <w:r>
        <w:t xml:space="preserve"> Venta en el mercado mayorista al precio de nodo (capture price). Con el orden de mérito proyectado, la central opera con </w:t>
      </w:r>
      <w:r>
        <w:rPr>
          <w:b/>
        </w:rPr>
        <w:t>factor de planta creciente</w:t>
      </w:r>
      <w:r>
        <w:t xml:space="preserve"> conforme entra la generación variable, capturando el margen entre SRMC y</w:t>
      </w:r>
      <w:r>
        <w:t xml:space="preserve"> precio de despacho.</w:t>
      </w:r>
    </w:p>
    <w:p w14:paraId="64EFE748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>3. Servicios de soporte (regulación).</w:t>
      </w:r>
      <w:r>
        <w:t xml:space="preserve"> El </w:t>
      </w:r>
      <w:r>
        <w:rPr>
          <w:b/>
        </w:rPr>
        <w:t>BESS 45 MW/2h</w:t>
      </w:r>
      <w:r>
        <w:t xml:space="preserve"> previsto aporta ingresos adicionales por regulación de frecuencia y reserva (FCR/FFR), complementando los ingresos base sin depender exclusivamente de ellos.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9"/>
        <w:gridCol w:w="2658"/>
        <w:gridCol w:w="4443"/>
      </w:tblGrid>
      <w:tr w:rsidR="00FE686A" w14:paraId="02066A58" w14:textId="77777777">
        <w:trPr>
          <w:jc w:val="center"/>
        </w:trPr>
        <w:tc>
          <w:tcPr>
            <w:tcW w:w="3456" w:type="dxa"/>
            <w:shd w:val="clear" w:color="auto" w:fill="13304F"/>
            <w:vAlign w:val="center"/>
          </w:tcPr>
          <w:p w14:paraId="62889357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Fuente de ingreso</w:t>
            </w:r>
          </w:p>
        </w:tc>
        <w:tc>
          <w:tcPr>
            <w:tcW w:w="2736" w:type="dxa"/>
            <w:shd w:val="clear" w:color="auto" w:fill="13304F"/>
            <w:vAlign w:val="center"/>
          </w:tcPr>
          <w:p w14:paraId="2C8956CF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Base</w:t>
            </w:r>
            <w:r>
              <w:rPr>
                <w:b/>
                <w:color w:val="FFFFFF"/>
                <w:sz w:val="19"/>
              </w:rPr>
              <w:t xml:space="preserve"> (USD/año)</w:t>
            </w:r>
          </w:p>
        </w:tc>
        <w:tc>
          <w:tcPr>
            <w:tcW w:w="4608" w:type="dxa"/>
            <w:shd w:val="clear" w:color="auto" w:fill="13304F"/>
            <w:vAlign w:val="center"/>
          </w:tcPr>
          <w:p w14:paraId="2BD413C0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Comentario</w:t>
            </w:r>
          </w:p>
        </w:tc>
      </w:tr>
      <w:tr w:rsidR="00FE686A" w14:paraId="6EC43F29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4B2A7148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Potencia firme (CMPPBR)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3648C3A8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~US$ 51.8 MUSD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086CF1D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128 USD/kW-año sobre potencia firme acreditable</w:t>
            </w:r>
          </w:p>
        </w:tc>
      </w:tr>
      <w:tr w:rsidR="00FE686A" w14:paraId="3B0A83C2" w14:textId="77777777">
        <w:trPr>
          <w:jc w:val="center"/>
        </w:trPr>
        <w:tc>
          <w:tcPr>
            <w:tcW w:w="3456" w:type="dxa"/>
            <w:shd w:val="clear" w:color="auto" w:fill="F6F2EB"/>
            <w:vAlign w:val="center"/>
          </w:tcPr>
          <w:p w14:paraId="79B7E780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Energía (capture price)</w:t>
            </w:r>
          </w:p>
        </w:tc>
        <w:tc>
          <w:tcPr>
            <w:tcW w:w="2736" w:type="dxa"/>
            <w:shd w:val="clear" w:color="auto" w:fill="F6F2EB"/>
            <w:vAlign w:val="center"/>
          </w:tcPr>
          <w:p w14:paraId="1F391103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~US$ 235 MUSD</w:t>
            </w:r>
          </w:p>
        </w:tc>
        <w:tc>
          <w:tcPr>
            <w:tcW w:w="4608" w:type="dxa"/>
            <w:shd w:val="clear" w:color="auto" w:fill="F6F2EB"/>
            <w:vAlign w:val="center"/>
          </w:tcPr>
          <w:p w14:paraId="6B4E6F23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Según despacho por mérito, vida-ponderado</w:t>
            </w:r>
          </w:p>
        </w:tc>
      </w:tr>
      <w:tr w:rsidR="00FE686A" w14:paraId="71649C37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1D6D6EA3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Servicios BESS (estimado)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0A3A2FCC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US$ 1.6–2.8 MUSD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75484AA5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 xml:space="preserve">Escalable a </w:t>
            </w:r>
            <w:r>
              <w:rPr>
                <w:sz w:val="19"/>
              </w:rPr>
              <w:t>90–135 MW</w:t>
            </w:r>
          </w:p>
        </w:tc>
      </w:tr>
    </w:tbl>
    <w:p w14:paraId="3BC9E8FC" w14:textId="77777777" w:rsidR="00FE686A" w:rsidRDefault="008F34E3">
      <w:pPr>
        <w:rPr>
          <w:rFonts w:hint="eastAsia"/>
        </w:rPr>
      </w:pPr>
      <w:r>
        <w:br w:type="page"/>
      </w:r>
    </w:p>
    <w:p w14:paraId="4BFBE0E4" w14:textId="77777777" w:rsidR="00FE686A" w:rsidRDefault="008F34E3">
      <w:pPr>
        <w:pBdr>
          <w:bottom w:val="single" w:sz="12" w:space="2" w:color="C9A96A"/>
        </w:pBdr>
        <w:spacing w:before="240"/>
        <w:rPr>
          <w:rFonts w:hint="eastAsia"/>
        </w:rPr>
      </w:pPr>
      <w:r>
        <w:rPr>
          <w:rFonts w:ascii="Georgia" w:hAnsi="Georgia"/>
          <w:b/>
          <w:color w:val="13304F"/>
          <w:sz w:val="30"/>
        </w:rPr>
        <w:lastRenderedPageBreak/>
        <w:t>4. Estructura de capital semilla (hitos) y timeline</w:t>
      </w:r>
    </w:p>
    <w:p w14:paraId="18EF6066" w14:textId="77777777" w:rsidR="00FE686A" w:rsidRDefault="008F34E3">
      <w:pPr>
        <w:rPr>
          <w:rFonts w:hint="eastAsia"/>
        </w:rPr>
      </w:pPr>
      <w:r>
        <w:t xml:space="preserve">El capital semilla </w:t>
      </w:r>
      <w:r>
        <w:rPr>
          <w:b/>
        </w:rPr>
        <w:t>no financia un plan, financia hitos verificables</w:t>
      </w:r>
      <w:r>
        <w:t xml:space="preserve">. Se desembolsa en </w:t>
      </w:r>
      <w:r>
        <w:rPr>
          <w:b/>
        </w:rPr>
        <w:t>6 tramos</w:t>
      </w:r>
      <w:r>
        <w:t xml:space="preserve"> y cada uno se libera solo cuando el entregable está cumplido.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608"/>
        <w:gridCol w:w="2016"/>
        <w:gridCol w:w="1584"/>
      </w:tblGrid>
      <w:tr w:rsidR="00FE686A" w14:paraId="795ED5A5" w14:textId="77777777">
        <w:trPr>
          <w:jc w:val="center"/>
        </w:trPr>
        <w:tc>
          <w:tcPr>
            <w:tcW w:w="1152" w:type="dxa"/>
            <w:shd w:val="clear" w:color="auto" w:fill="13304F"/>
            <w:vAlign w:val="center"/>
          </w:tcPr>
          <w:p w14:paraId="3251ED2A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Tramo</w:t>
            </w:r>
          </w:p>
        </w:tc>
        <w:tc>
          <w:tcPr>
            <w:tcW w:w="4608" w:type="dxa"/>
            <w:shd w:val="clear" w:color="auto" w:fill="13304F"/>
            <w:vAlign w:val="center"/>
          </w:tcPr>
          <w:p w14:paraId="0C04425F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Hito</w:t>
            </w:r>
          </w:p>
        </w:tc>
        <w:tc>
          <w:tcPr>
            <w:tcW w:w="2016" w:type="dxa"/>
            <w:shd w:val="clear" w:color="auto" w:fill="13304F"/>
            <w:vAlign w:val="center"/>
          </w:tcPr>
          <w:p w14:paraId="1A72EF63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Monto (USD)</w:t>
            </w:r>
          </w:p>
        </w:tc>
        <w:tc>
          <w:tcPr>
            <w:tcW w:w="1584" w:type="dxa"/>
            <w:shd w:val="clear" w:color="auto" w:fill="13304F"/>
            <w:vAlign w:val="center"/>
          </w:tcPr>
          <w:p w14:paraId="46565745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Momento</w:t>
            </w:r>
          </w:p>
        </w:tc>
      </w:tr>
      <w:tr w:rsidR="00FE686A" w14:paraId="1B7B14A0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46370424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T1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7A6B3D1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Inicio y arranque del equipo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14D317D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200 000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69707D12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M0</w:t>
            </w:r>
          </w:p>
        </w:tc>
      </w:tr>
      <w:tr w:rsidR="00FE686A" w14:paraId="71E557CA" w14:textId="77777777">
        <w:trPr>
          <w:jc w:val="center"/>
        </w:trPr>
        <w:tc>
          <w:tcPr>
            <w:tcW w:w="1152" w:type="dxa"/>
            <w:shd w:val="clear" w:color="auto" w:fill="F6F2EB"/>
            <w:vAlign w:val="center"/>
          </w:tcPr>
          <w:p w14:paraId="5BD305FB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T2</w:t>
            </w:r>
          </w:p>
        </w:tc>
        <w:tc>
          <w:tcPr>
            <w:tcW w:w="4608" w:type="dxa"/>
            <w:shd w:val="clear" w:color="auto" w:fill="F6F2EB"/>
            <w:vAlign w:val="center"/>
          </w:tcPr>
          <w:p w14:paraId="49994F71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Solicitud de licencia ambiental</w:t>
            </w:r>
          </w:p>
        </w:tc>
        <w:tc>
          <w:tcPr>
            <w:tcW w:w="2016" w:type="dxa"/>
            <w:shd w:val="clear" w:color="auto" w:fill="F6F2EB"/>
            <w:vAlign w:val="center"/>
          </w:tcPr>
          <w:p w14:paraId="1989730D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200 000</w:t>
            </w:r>
          </w:p>
        </w:tc>
        <w:tc>
          <w:tcPr>
            <w:tcW w:w="1584" w:type="dxa"/>
            <w:shd w:val="clear" w:color="auto" w:fill="F6F2EB"/>
            <w:vAlign w:val="center"/>
          </w:tcPr>
          <w:p w14:paraId="490F7AC3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M4</w:t>
            </w:r>
          </w:p>
        </w:tc>
      </w:tr>
      <w:tr w:rsidR="00FE686A" w14:paraId="42D19E97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0665CF21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T3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0AC7EA73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Ingeniería aprobada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279FFDE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200 000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D59A312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M9</w:t>
            </w:r>
          </w:p>
        </w:tc>
      </w:tr>
      <w:tr w:rsidR="00FE686A" w14:paraId="32619287" w14:textId="77777777">
        <w:trPr>
          <w:jc w:val="center"/>
        </w:trPr>
        <w:tc>
          <w:tcPr>
            <w:tcW w:w="1152" w:type="dxa"/>
            <w:shd w:val="clear" w:color="auto" w:fill="F6F2EB"/>
            <w:vAlign w:val="center"/>
          </w:tcPr>
          <w:p w14:paraId="7EBDD168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T4</w:t>
            </w:r>
          </w:p>
        </w:tc>
        <w:tc>
          <w:tcPr>
            <w:tcW w:w="4608" w:type="dxa"/>
            <w:shd w:val="clear" w:color="auto" w:fill="F6F2EB"/>
            <w:vAlign w:val="center"/>
          </w:tcPr>
          <w:p w14:paraId="531778B8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No objeción de interconexión (ETED)</w:t>
            </w:r>
          </w:p>
        </w:tc>
        <w:tc>
          <w:tcPr>
            <w:tcW w:w="2016" w:type="dxa"/>
            <w:shd w:val="clear" w:color="auto" w:fill="F6F2EB"/>
            <w:vAlign w:val="center"/>
          </w:tcPr>
          <w:p w14:paraId="467F0116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200 000</w:t>
            </w:r>
          </w:p>
        </w:tc>
        <w:tc>
          <w:tcPr>
            <w:tcW w:w="1584" w:type="dxa"/>
            <w:shd w:val="clear" w:color="auto" w:fill="F6F2EB"/>
            <w:vAlign w:val="center"/>
          </w:tcPr>
          <w:p w14:paraId="11598575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M14</w:t>
            </w:r>
          </w:p>
        </w:tc>
      </w:tr>
      <w:tr w:rsidR="00FE686A" w14:paraId="205D2488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643F0149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T5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602128DB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Ingeniería sellada de subestación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3294381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200 000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10FA5ED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M17</w:t>
            </w:r>
          </w:p>
        </w:tc>
      </w:tr>
      <w:tr w:rsidR="00FE686A" w14:paraId="5EBE5C25" w14:textId="77777777">
        <w:trPr>
          <w:jc w:val="center"/>
        </w:trPr>
        <w:tc>
          <w:tcPr>
            <w:tcW w:w="1152" w:type="dxa"/>
            <w:shd w:val="clear" w:color="auto" w:fill="F6F2EB"/>
            <w:vAlign w:val="center"/>
          </w:tcPr>
          <w:p w14:paraId="304F280F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T6</w:t>
            </w:r>
          </w:p>
        </w:tc>
        <w:tc>
          <w:tcPr>
            <w:tcW w:w="4608" w:type="dxa"/>
            <w:shd w:val="clear" w:color="auto" w:fill="F6F2EB"/>
            <w:vAlign w:val="center"/>
          </w:tcPr>
          <w:p w14:paraId="67C09932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Concesión definitiva (RTB)</w:t>
            </w:r>
          </w:p>
        </w:tc>
        <w:tc>
          <w:tcPr>
            <w:tcW w:w="2016" w:type="dxa"/>
            <w:shd w:val="clear" w:color="auto" w:fill="F6F2EB"/>
            <w:vAlign w:val="center"/>
          </w:tcPr>
          <w:p w14:paraId="62C1F385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300 000</w:t>
            </w:r>
          </w:p>
        </w:tc>
        <w:tc>
          <w:tcPr>
            <w:tcW w:w="1584" w:type="dxa"/>
            <w:shd w:val="clear" w:color="auto" w:fill="F6F2EB"/>
            <w:vAlign w:val="center"/>
          </w:tcPr>
          <w:p w14:paraId="45A825C9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M18</w:t>
            </w:r>
          </w:p>
        </w:tc>
      </w:tr>
      <w:tr w:rsidR="00FE686A" w14:paraId="77CFB1CB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47E1E643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Total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04B649E" w14:textId="77777777" w:rsidR="00FE686A" w:rsidRDefault="00FE686A">
            <w:pPr>
              <w:rPr>
                <w:rFonts w:hint="eastAsia"/>
              </w:rPr>
            </w:pPr>
          </w:p>
        </w:tc>
        <w:tc>
          <w:tcPr>
            <w:tcW w:w="2016" w:type="dxa"/>
            <w:shd w:val="clear" w:color="auto" w:fill="FFFFFF"/>
            <w:vAlign w:val="center"/>
          </w:tcPr>
          <w:p w14:paraId="275FD7CB" w14:textId="77777777" w:rsidR="00FE686A" w:rsidRDefault="008F34E3">
            <w:pPr>
              <w:rPr>
                <w:rFonts w:hint="eastAsia"/>
              </w:rPr>
            </w:pPr>
            <w:r>
              <w:rPr>
                <w:b/>
                <w:sz w:val="19"/>
              </w:rPr>
              <w:t>1 300 000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2E64AC8" w14:textId="77777777" w:rsidR="00FE686A" w:rsidRDefault="008F34E3">
            <w:pPr>
              <w:rPr>
                <w:rFonts w:hint="eastAsia"/>
              </w:rPr>
            </w:pPr>
            <w:r>
              <w:rPr>
                <w:sz w:val="19"/>
              </w:rPr>
              <w:t>12–18 meses</w:t>
            </w:r>
          </w:p>
        </w:tc>
      </w:tr>
    </w:tbl>
    <w:p w14:paraId="75E4C276" w14:textId="77777777" w:rsidR="00FE686A" w:rsidRDefault="008F34E3">
      <w:pPr>
        <w:rPr>
          <w:rFonts w:hint="eastAsia"/>
        </w:rPr>
      </w:pPr>
      <w:r>
        <w:rPr>
          <w:b/>
        </w:rPr>
        <w:t>Compromiso de ejecución:</w:t>
      </w:r>
      <w:r>
        <w:t xml:space="preserve"> 18 meses como máximo para obtener la concesión definitiva desde el primer aporte. Con la ruta estructurada, el objetivo es </w:t>
      </w:r>
      <w:r>
        <w:rPr>
          <w:b/>
        </w:rPr>
        <w:t>12–18 meses</w:t>
      </w:r>
      <w:r>
        <w:t>.</w:t>
      </w:r>
    </w:p>
    <w:p w14:paraId="640523AC" w14:textId="77777777" w:rsidR="00FE686A" w:rsidRDefault="008F34E3">
      <w:pPr>
        <w:rPr>
          <w:rFonts w:hint="eastAsia"/>
        </w:rPr>
      </w:pPr>
      <w:r>
        <w:br w:type="page"/>
      </w:r>
    </w:p>
    <w:p w14:paraId="34367299" w14:textId="77777777" w:rsidR="00FE686A" w:rsidRDefault="008F34E3">
      <w:pPr>
        <w:pBdr>
          <w:bottom w:val="single" w:sz="12" w:space="2" w:color="C9A96A"/>
        </w:pBdr>
        <w:spacing w:before="240"/>
        <w:rPr>
          <w:rFonts w:hint="eastAsia"/>
        </w:rPr>
      </w:pPr>
      <w:r>
        <w:rPr>
          <w:rFonts w:ascii="Georgia" w:hAnsi="Georgia"/>
          <w:b/>
          <w:color w:val="13304F"/>
          <w:sz w:val="30"/>
        </w:rPr>
        <w:lastRenderedPageBreak/>
        <w:t>5. Estrategia de arranque por etapas (vapor primero)</w:t>
      </w:r>
    </w:p>
    <w:p w14:paraId="27D72DC0" w14:textId="77777777" w:rsidR="00FE686A" w:rsidRDefault="008F34E3">
      <w:pPr>
        <w:rPr>
          <w:rFonts w:hint="eastAsia"/>
        </w:rPr>
      </w:pPr>
      <w:r>
        <w:t xml:space="preserve">Para generar caja y energía lo antes posible, </w:t>
      </w:r>
      <w:r>
        <w:rPr>
          <w:b/>
        </w:rPr>
        <w:t>arrancamos por eta</w:t>
      </w:r>
      <w:r>
        <w:rPr>
          <w:b/>
        </w:rPr>
        <w:t>pas</w:t>
      </w:r>
      <w:r>
        <w:t>, sin esperar a que todas las turbinas estén en sitio:</w:t>
      </w:r>
    </w:p>
    <w:p w14:paraId="0502F43F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>Fase 1 – Vapor primero (2029–inicio COD):</w:t>
      </w:r>
      <w:r>
        <w:t xml:space="preserve"> Instalamos la caldera de recuperación/vapor + turbina de vapor para arrancar con </w:t>
      </w:r>
      <w:r>
        <w:rPr>
          <w:b/>
        </w:rPr>
        <w:t>~150 MW</w:t>
      </w:r>
      <w:r>
        <w:t>, generando energía y comenzando a producir ingresos mientras llegan</w:t>
      </w:r>
      <w:r>
        <w:t xml:space="preserve"> las turbinas de gas.</w:t>
      </w:r>
    </w:p>
    <w:p w14:paraId="5D60D207" w14:textId="77777777" w:rsidR="00FE686A" w:rsidRDefault="008F34E3">
      <w:pPr>
        <w:pStyle w:val="Listaconvietas"/>
        <w:spacing w:after="60"/>
        <w:rPr>
          <w:rFonts w:hint="eastAsia"/>
        </w:rPr>
      </w:pPr>
      <w:r>
        <w:rPr>
          <w:b/>
        </w:rPr>
        <w:t>Fase 2 – Cierre del ciclo 2×1 (según llegada de equipos):</w:t>
      </w:r>
      <w:r>
        <w:t xml:space="preserve"> Al instalar las </w:t>
      </w:r>
      <w:r>
        <w:rPr>
          <w:b/>
        </w:rPr>
        <w:t>dos turbinas de gas</w:t>
      </w:r>
      <w:r>
        <w:t xml:space="preserve">, cerramos el ciclo combinado, elevando la eficiencia y alcanzando </w:t>
      </w:r>
      <w:r>
        <w:rPr>
          <w:b/>
        </w:rPr>
        <w:t>450 MW netos</w:t>
      </w:r>
      <w:r>
        <w:t>. Esta secuencia minimiza el tiempo muerto y optimiza el flujo</w:t>
      </w:r>
      <w:r>
        <w:t xml:space="preserve"> de caja.</w:t>
      </w:r>
    </w:p>
    <w:p w14:paraId="666638C6" w14:textId="77777777" w:rsidR="00FE686A" w:rsidRDefault="008F34E3">
      <w:pPr>
        <w:rPr>
          <w:rFonts w:hint="eastAsia"/>
        </w:rPr>
      </w:pPr>
      <w:r>
        <w:t>Esta estrategia es práctica, ejecutable y reduce el riesgo de puesta en marcha sin comprometer la eficiencia final del ciclo combinado.</w:t>
      </w:r>
    </w:p>
    <w:p w14:paraId="7A9CE2C9" w14:textId="77777777" w:rsidR="00FE686A" w:rsidRDefault="008F34E3">
      <w:pPr>
        <w:rPr>
          <w:rFonts w:hint="eastAsia"/>
        </w:rPr>
      </w:pPr>
      <w:r>
        <w:rPr>
          <w:b/>
          <w:sz w:val="24"/>
        </w:rPr>
        <w:t>OK - documento actualizado</w:t>
      </w:r>
    </w:p>
    <w:sectPr w:rsidR="00FE686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34E3"/>
    <w:rsid w:val="00AA1D8D"/>
    <w:rsid w:val="00B47730"/>
    <w:rsid w:val="00CB0664"/>
    <w:rsid w:val="00FC693F"/>
    <w:rsid w:val="00FE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1D44D"/>
  <w14:defaultImageDpi w14:val="300"/>
  <w15:docId w15:val="{1485A203-297A-4F47-8B1E-496CFEA6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2A2A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813</Words>
  <Characters>4126</Characters>
  <Application>Microsoft Office Word</Application>
  <DocSecurity>0</DocSecurity>
  <Lines>133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</cp:lastModifiedBy>
  <cp:revision>2</cp:revision>
  <cp:lastPrinted>2026-10-02T05:07:00Z</cp:lastPrinted>
  <dcterms:created xsi:type="dcterms:W3CDTF">2013-12-23T23:15:00Z</dcterms:created>
  <dcterms:modified xsi:type="dcterms:W3CDTF">2026-10-02T05:08:00Z</dcterms:modified>
  <cp:category/>
</cp:coreProperties>
</file>