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32"/>
        </w:rPr>
        <w:t>UNIVERSIDAD SAN FRANCISCO DE QUITO</w:t>
      </w:r>
    </w:p>
    <w:p>
      <w:pPr>
        <w:jc w:val="center"/>
      </w:pPr>
      <w:r>
        <w:rPr>
          <w:sz w:val="28"/>
        </w:rPr>
        <w:t>Colegio de Ciencias e Ingenierías</w:t>
      </w:r>
    </w:p>
    <w:p/>
    <w:p/>
    <w:p>
      <w:pPr>
        <w:jc w:val="center"/>
      </w:pPr>
      <w:r>
        <w:rPr>
          <w:b/>
          <w:sz w:val="28"/>
        </w:rPr>
        <w:t>APLICACIÓN DE TÉCNICAS DE DATA MINING PARA ANÁLISIS DE DEVOLUCIONES, DESVIACIONES PLAN VS REAL Y DETECCIÓN DE ANOMALÍAS EN CONDIMENSA</w:t>
      </w:r>
    </w:p>
    <w:p/>
    <w:p>
      <w:pPr>
        <w:jc w:val="center"/>
      </w:pPr>
      <w:r>
        <w:rPr>
          <w:sz w:val="24"/>
        </w:rPr>
        <w:t>Proyecto Integrador - Avance 2</w:t>
      </w:r>
    </w:p>
    <w:p/>
    <w:p/>
    <w:p>
      <w:pPr>
        <w:jc w:val="center"/>
      </w:pPr>
      <w:r>
        <w:rPr>
          <w:b/>
        </w:rPr>
        <w:t>Anthony Fajardo</w:t>
      </w:r>
    </w:p>
    <w:p>
      <w:pPr>
        <w:jc w:val="center"/>
      </w:pPr>
      <w:r>
        <w:t>Tutor: José Vega</w:t>
      </w:r>
    </w:p>
    <w:p/>
    <w:p>
      <w:pPr>
        <w:jc w:val="center"/>
      </w:pPr>
      <w:r>
        <w:t>Marzo 2026</w:t>
      </w:r>
    </w:p>
    <w:p>
      <w:r>
        <w:br w:type="page"/>
      </w:r>
    </w:p>
    <w:p>
      <w:pPr>
        <w:pStyle w:val="Heading1"/>
      </w:pPr>
      <w:r>
        <w:t>RESUMEN</w:t>
      </w:r>
    </w:p>
    <w:p>
      <w:r>
        <w:rPr>
          <w:b w:val="0"/>
          <w:i w:val="0"/>
        </w:rPr>
        <w:t>Este proyecto aplica técnicas de Data Mining sobre datos integrados de la empresa CONDIMENSA para responder tres preguntas analíticas: (1) qué factores permiten pronosticar desviaciones entre plan y producción real, (2) qué productos se venden juntos para estrategias de cross-selling, y (3) qué agencias presentan comportamientos atípicos. Se implementó una arquitectura Medallion (Bronze/Silver/Gold) sobre PostgreSQL, orquestada con Mage AI y visualizada en Streamlit. Los resultados muestran que ExtraTrees reduce el error de pronóstico en 6.71% vs baseline, se identificaron 9 reglas de asociación con Lift promedio de 15.57, y se detectó 1 agencia anómala (QUITO) con estabilidad bootstrap de 70%.</w:t>
      </w:r>
    </w:p>
    <w:p>
      <w:r>
        <w:rPr>
          <w:b/>
        </w:rPr>
        <w:t xml:space="preserve">Palabras clave: </w:t>
      </w:r>
      <w:r>
        <w:t>Data Mining, CRISP-DM, Arquitectura Medallion, Pronóstico, Reglas de Asociación, Detección de Anomalías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1. Introducción</w:t>
      </w:r>
    </w:p>
    <w:p>
      <w:r>
        <w:t>2. Estado del Arte</w:t>
      </w:r>
    </w:p>
    <w:p>
      <w:r>
        <w:t>3. Marco Conceptual y Justificación Arquitectónica</w:t>
      </w:r>
    </w:p>
    <w:p>
      <w:r>
        <w:t>4. Metodología (CRISP-DM)</w:t>
      </w:r>
    </w:p>
    <w:p>
      <w:r>
        <w:t>5. Arquitectura e Implementación</w:t>
      </w:r>
    </w:p>
    <w:p>
      <w:r>
        <w:t>6. Experimentos y Resultados</w:t>
      </w:r>
    </w:p>
    <w:p>
      <w:r>
        <w:t>7. Validación Metodológica</w:t>
      </w:r>
    </w:p>
    <w:p>
      <w:r>
        <w:t>8. Discusión</w:t>
      </w:r>
    </w:p>
    <w:p>
      <w:r>
        <w:t>9. Avance vs Cronograma</w:t>
      </w:r>
    </w:p>
    <w:p>
      <w:r>
        <w:t>10. Conclusiones y Siguientes Pasos</w:t>
      </w:r>
    </w:p>
    <w:p>
      <w:r>
        <w:t>11. Referencias</w:t>
      </w:r>
    </w:p>
    <w:p>
      <w:r>
        <w:t>12. Anexos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Contexto</w:t>
      </w:r>
    </w:p>
    <w:p>
      <w:r>
        <w:rPr>
          <w:b w:val="0"/>
          <w:i w:val="0"/>
        </w:rPr>
        <w:t>CONDIMENSA es una empresa ecuatoriana dedicada a la producción y comercialización de condimentos y productos alimenticios. La empresa opera con dos sistemas transaccionales principales: QuickBooks/ODIN para producción y operaciones, y Kronos para gestión comercial. Esta separación dificulta el análisis integrado de información para la toma de decisiones.</w:t>
      </w:r>
    </w:p>
    <w:p>
      <w:pPr>
        <w:pStyle w:val="Heading2"/>
      </w:pPr>
      <w:r>
        <w:t>1.2 Planteamiento del Problema</w:t>
      </w:r>
    </w:p>
    <w:p>
      <w:r>
        <w:rPr>
          <w:b w:val="0"/>
          <w:i w:val="0"/>
        </w:rPr>
        <w:t>El avance previo priorizó la infraestructura (ETL, capas y dashboard), pero no evidenció con suficiente rigor la parte de Data Mining. En este avance se corrige ese desbalance, enfocando la evaluación en preguntas de negocio, métricas adecuadas y validez metodológica.</w:t>
      </w:r>
    </w:p>
    <w:p>
      <w:pPr>
        <w:pStyle w:val="Heading2"/>
      </w:pPr>
      <w:r>
        <w:t>1.3 Preguntas Analíticas</w:t>
      </w:r>
    </w:p>
    <w:p>
      <w:r>
        <w:t>• 1. Pronóstico de producción: ¿Qué factores permiten anticipar desviaciones entre cantidad planificada y real?</w:t>
      </w:r>
    </w:p>
    <w:p>
      <w:r>
        <w:t>• 2. Cross-selling: ¿Qué productos tienden a venderse juntos para promociones combinadas?</w:t>
      </w:r>
    </w:p>
    <w:p>
      <w:r>
        <w:t>• 3. Anomalías: ¿Qué agencias presentan comportamientos atípicos que requieren investigación?</w:t>
      </w:r>
    </w:p>
    <w:p>
      <w:pPr>
        <w:pStyle w:val="Heading2"/>
      </w:pPr>
      <w:r>
        <w:t>1.4 Objetivo General</w:t>
      </w:r>
    </w:p>
    <w:p>
      <w:r>
        <w:rPr>
          <w:b w:val="0"/>
          <w:i w:val="0"/>
        </w:rPr>
        <w:t>Aplicar técnicas de Data Mining sobre datos integrados de CONDIMENSA para responder preguntas analíticas no triviales y generar recomendaciones accionables con evaluación metodológica rigurosa.</w:t>
      </w:r>
    </w:p>
    <w:p>
      <w:pPr>
        <w:pStyle w:val="Heading2"/>
      </w:pPr>
      <w:r>
        <w:t>1.5 Alcance y Limitaciones</w:t>
      </w:r>
    </w:p>
    <w:p>
      <w:r>
        <w:t>• Período analizado: Julio 2024 - Enero 2026 (18 meses)</w:t>
      </w:r>
    </w:p>
    <w:p>
      <w:r>
        <w:t>• Unidades de análisis: producto-período, transacción, agencia</w:t>
      </w:r>
    </w:p>
    <w:p>
      <w:r>
        <w:t>• Fuentes: QuickBooks/ODIN, Kronos, PostgreSQL Gold</w:t>
      </w:r>
    </w:p>
    <w:p>
      <w:r>
        <w:t>• Limitaciones: N=10 agencias, cobertura de 18 meses</w:t>
      </w:r>
    </w:p>
    <w:p>
      <w:r>
        <w:br w:type="page"/>
      </w:r>
    </w:p>
    <w:p>
      <w:pPr>
        <w:pStyle w:val="Heading1"/>
      </w:pPr>
      <w:r>
        <w:t>2. ESTADO DEL ARTE</w:t>
      </w:r>
    </w:p>
    <w:p>
      <w:pPr>
        <w:pStyle w:val="Heading2"/>
      </w:pPr>
      <w:r>
        <w:t>2.1 Fundamentos</w:t>
      </w:r>
    </w:p>
    <w:p>
      <w:r>
        <w:rPr>
          <w:b w:val="0"/>
          <w:i w:val="0"/>
        </w:rPr>
        <w:t>El proyecto sigue CRISP-DM (Cross-Industry Standard Process for Data Mining) para alinear objetivos de negocio con preparación de datos, modelado y evaluación (Chapman et al., 2000).</w:t>
      </w:r>
    </w:p>
    <w:p>
      <w:pPr>
        <w:pStyle w:val="Heading2"/>
      </w:pPr>
      <w:r>
        <w:t>2.2 Trabajos Relacionados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Trabajo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Aporte</w:t>
            </w:r>
          </w:p>
        </w:tc>
      </w:tr>
      <w:tr>
        <w:tc>
          <w:tcPr>
            <w:tcW w:type="dxa" w:w="1728"/>
          </w:tcPr>
          <w:p>
            <w:r>
              <w:t>Gu et al. (2024)</w:t>
            </w:r>
          </w:p>
        </w:tc>
        <w:tc>
          <w:tcPr>
            <w:tcW w:type="dxa" w:w="1728"/>
          </w:tcPr>
          <w:p>
            <w:r>
              <w:t>Predicción devoluciones</w:t>
            </w:r>
          </w:p>
        </w:tc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Confirma RF para PRB</w:t>
            </w:r>
          </w:p>
        </w:tc>
      </w:tr>
      <w:tr>
        <w:tc>
          <w:tcPr>
            <w:tcW w:type="dxa" w:w="1728"/>
          </w:tcPr>
          <w:p>
            <w:r>
              <w:t>Zhang et al. (2024)</w:t>
            </w:r>
          </w:p>
        </w:tc>
        <w:tc>
          <w:tcPr>
            <w:tcW w:type="dxa" w:w="1728"/>
          </w:tcPr>
          <w:p>
            <w:r>
              <w:t>Gestión devoluciones retail</w:t>
            </w:r>
          </w:p>
        </w:tc>
        <w:tc>
          <w:tcPr>
            <w:tcW w:type="dxa" w:w="1728"/>
          </w:tcPr>
          <w:p>
            <w:r>
              <w:t>LR, RF, GB</w:t>
            </w:r>
          </w:p>
        </w:tc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Variables clave</w:t>
            </w:r>
          </w:p>
        </w:tc>
      </w:tr>
      <w:tr>
        <w:tc>
          <w:tcPr>
            <w:tcW w:type="dxa" w:w="1728"/>
          </w:tcPr>
          <w:p>
            <w:r>
              <w:t>Baur et al. (2025)</w:t>
            </w:r>
          </w:p>
        </w:tc>
        <w:tc>
          <w:tcPr>
            <w:tcW w:type="dxa" w:w="1728"/>
          </w:tcPr>
          <w:p>
            <w:r>
              <w:t>Devoluciones textiles</w:t>
            </w:r>
          </w:p>
        </w:tc>
        <w:tc>
          <w:tcPr>
            <w:tcW w:type="dxa" w:w="1728"/>
          </w:tcPr>
          <w:p>
            <w:r>
              <w:t>XGBoost, RF</w:t>
            </w:r>
          </w:p>
        </w:tc>
        <w:tc>
          <w:tcPr>
            <w:tcW w:type="dxa" w:w="1728"/>
          </w:tcPr>
          <w:p>
            <w:r>
              <w:t>Bal. Acc 0.86</w:t>
            </w:r>
          </w:p>
        </w:tc>
        <w:tc>
          <w:tcPr>
            <w:tcW w:type="dxa" w:w="1728"/>
          </w:tcPr>
          <w:p>
            <w:r>
              <w:t>Viabilidad manufactura</w:t>
            </w:r>
          </w:p>
        </w:tc>
      </w:tr>
      <w:tr>
        <w:tc>
          <w:tcPr>
            <w:tcW w:type="dxa" w:w="1728"/>
          </w:tcPr>
          <w:p>
            <w:r>
              <w:t>Santos et al. (2025)</w:t>
            </w:r>
          </w:p>
        </w:tc>
        <w:tc>
          <w:tcPr>
            <w:tcW w:type="dxa" w:w="1728"/>
          </w:tcPr>
          <w:p>
            <w:r>
              <w:t>Anomalías en compras</w:t>
            </w:r>
          </w:p>
        </w:tc>
        <w:tc>
          <w:tcPr>
            <w:tcW w:type="dxa" w:w="1728"/>
          </w:tcPr>
          <w:p>
            <w:r>
              <w:t>K-Means + IF</w:t>
            </w:r>
          </w:p>
        </w:tc>
        <w:tc>
          <w:tcPr>
            <w:tcW w:type="dxa" w:w="1728"/>
          </w:tcPr>
          <w:p>
            <w:r>
              <w:t>Precisión</w:t>
            </w:r>
          </w:p>
        </w:tc>
        <w:tc>
          <w:tcPr>
            <w:tcW w:type="dxa" w:w="1728"/>
          </w:tcPr>
          <w:p>
            <w:r>
              <w:t>Enfoque híbrido</w:t>
            </w:r>
          </w:p>
        </w:tc>
      </w:tr>
      <w:tr>
        <w:tc>
          <w:tcPr>
            <w:tcW w:type="dxa" w:w="1728"/>
          </w:tcPr>
          <w:p>
            <w:r>
              <w:t>Jadhav et al. (2023)</w:t>
            </w:r>
          </w:p>
        </w:tc>
        <w:tc>
          <w:tcPr>
            <w:tcW w:type="dxa" w:w="1728"/>
          </w:tcPr>
          <w:p>
            <w:r>
              <w:t>Market basket</w:t>
            </w:r>
          </w:p>
        </w:tc>
        <w:tc>
          <w:tcPr>
            <w:tcW w:type="dxa" w:w="1728"/>
          </w:tcPr>
          <w:p>
            <w:r>
              <w:t>Apriori</w:t>
            </w:r>
          </w:p>
        </w:tc>
        <w:tc>
          <w:tcPr>
            <w:tcW w:type="dxa" w:w="1728"/>
          </w:tcPr>
          <w:p>
            <w:r>
              <w:t>Lift, Conf</w:t>
            </w:r>
          </w:p>
        </w:tc>
        <w:tc>
          <w:tcPr>
            <w:tcW w:type="dxa" w:w="1728"/>
          </w:tcPr>
          <w:p>
            <w:r>
              <w:t>Cross-selling validado</w:t>
            </w:r>
          </w:p>
        </w:tc>
      </w:tr>
    </w:tbl>
    <w:p>
      <w:pPr>
        <w:pStyle w:val="Heading2"/>
      </w:pPr>
      <w:r>
        <w:t>2.3 Análisis Crítico</w:t>
      </w:r>
    </w:p>
    <w:p>
      <w:r>
        <w:rPr>
          <w:b w:val="0"/>
          <w:i w:val="0"/>
        </w:rPr>
        <w:t>La literatura confirma la efectividad de Random Forest y Gradient Boosting para predicción, con AUC-ROC entre 0.69 y 0.86. Sin embargo, la mayoría de implementaciones no muestran integración con arquitectura reproducible ni controles anti-leakage explícitos. Este proyecto contribuye al aplicar estas técnicas en contexto manufacturero ecuatoriano con stack open-source.</w:t>
      </w:r>
    </w:p>
    <w:p>
      <w:r>
        <w:br w:type="page"/>
      </w:r>
    </w:p>
    <w:p>
      <w:pPr>
        <w:pStyle w:val="Heading1"/>
      </w:pPr>
      <w:r>
        <w:t>3. MARCO CONCEPTUAL Y JUSTIFICACIÓN ARQUITECTÓNICA</w:t>
      </w:r>
    </w:p>
    <w:p>
      <w:pPr>
        <w:pStyle w:val="Heading2"/>
      </w:pPr>
      <w:r>
        <w:t>3.1 OLTP vs OLAP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OLTP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OLAP</w:t>
            </w:r>
          </w:p>
        </w:tc>
      </w:tr>
      <w:tr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Registrar transacciones</w:t>
            </w:r>
          </w:p>
        </w:tc>
        <w:tc>
          <w:tcPr>
            <w:tcW w:type="dxa" w:w="2880"/>
          </w:tcPr>
          <w:p>
            <w:r>
              <w:t>Analizar históricos</w:t>
            </w:r>
          </w:p>
        </w:tc>
      </w:tr>
      <w:tr>
        <w:tc>
          <w:tcPr>
            <w:tcW w:type="dxa" w:w="2880"/>
          </w:tcPr>
          <w:p>
            <w:r>
              <w:t>Consultas</w:t>
            </w:r>
          </w:p>
        </w:tc>
        <w:tc>
          <w:tcPr>
            <w:tcW w:type="dxa" w:w="2880"/>
          </w:tcPr>
          <w:p>
            <w:r>
              <w:t>Cortas y frecuentes</w:t>
            </w:r>
          </w:p>
        </w:tc>
        <w:tc>
          <w:tcPr>
            <w:tcW w:type="dxa" w:w="2880"/>
          </w:tcPr>
          <w:p>
            <w:r>
              <w:t>Agregadas e intensivas</w:t>
            </w:r>
          </w:p>
        </w:tc>
      </w:tr>
      <w:tr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Baja latencia</w:t>
            </w:r>
          </w:p>
        </w:tc>
        <w:tc>
          <w:tcPr>
            <w:tcW w:type="dxa" w:w="2880"/>
          </w:tcPr>
          <w:p>
            <w:r>
              <w:t>Alto throughput analítico</w:t>
            </w:r>
          </w:p>
        </w:tc>
      </w:tr>
    </w:tbl>
    <w:p>
      <w:r>
        <w:rPr>
          <w:b w:val="0"/>
          <w:i w:val="0"/>
        </w:rPr>
        <w:t>Justificación: Separar OLTP y OLAP evita afectar sistemas operacionales durante análisis y entrenamiento de modelos.</w:t>
      </w:r>
    </w:p>
    <w:p>
      <w:pPr>
        <w:pStyle w:val="Heading2"/>
      </w:pPr>
      <w:r>
        <w:t>3.2 Arquitectura Medallion</w:t>
      </w:r>
    </w:p>
    <w:p>
      <w:r>
        <w:t>• Bronze: Datos crudos con mínima transformación</w:t>
      </w:r>
    </w:p>
    <w:p>
      <w:r>
        <w:t>• Silver: Datos estandarizados y limpios</w:t>
      </w:r>
    </w:p>
    <w:p>
      <w:r>
        <w:t>• Gold: Tablas analíticas para modelado y dashboard</w:t>
      </w:r>
    </w:p>
    <w:p>
      <w:r>
        <w:br w:type="page"/>
      </w:r>
    </w:p>
    <w:p>
      <w:pPr>
        <w:pStyle w:val="Heading1"/>
      </w:pPr>
      <w:r>
        <w:t>4. METODOLOGÍA (CRISP-DM)</w:t>
      </w:r>
    </w:p>
    <w:p>
      <w:pPr>
        <w:pStyle w:val="Heading2"/>
      </w:pPr>
      <w:r>
        <w:t>4.1 Business Understanding</w:t>
      </w:r>
    </w:p>
    <w:p>
      <w:r>
        <w:t>• KPI Pronóstico: WAPE (Weighted Absolute Percentage Error)</w:t>
      </w:r>
    </w:p>
    <w:p>
      <w:r>
        <w:t>• KPI Asociación: Lift y Confianza</w:t>
      </w:r>
    </w:p>
    <w:p>
      <w:r>
        <w:t>• KPI Anomalías: Estabilidad bootstrap (Jaccard)</w:t>
      </w:r>
    </w:p>
    <w:p>
      <w:pPr>
        <w:pStyle w:val="Heading2"/>
      </w:pPr>
      <w:r>
        <w:t>4.2 Data Understanding</w:t>
      </w:r>
    </w:p>
    <w:p>
      <w:r>
        <w:t>• Tablas fuente: bronze.quickbooks_produccion_raw, bronze.kronos_ventas_raw</w:t>
      </w:r>
    </w:p>
    <w:p>
      <w:r>
        <w:t>• Cobertura: 18 meses (Jul 2024 - Ene 2026)</w:t>
      </w:r>
    </w:p>
    <w:p>
      <w:r>
        <w:t>• Registros: ~10,000 producción, ~2,500 transacciones</w:t>
      </w:r>
    </w:p>
    <w:p>
      <w:pPr>
        <w:pStyle w:val="Heading2"/>
      </w:pPr>
      <w:r>
        <w:t>4.3 Data Preparation</w:t>
      </w:r>
    </w:p>
    <w:p>
      <w:r>
        <w:t>• Integración QuickBooks + Kronos en Silver</w:t>
      </w:r>
    </w:p>
    <w:p>
      <w:r>
        <w:t>• Features temporales: lag_1, lag_2, lag_3, tendencia_3m</w:t>
      </w:r>
    </w:p>
    <w:p>
      <w:r>
        <w:t>• Control de leakage: exclusión de variables post-evento</w:t>
      </w:r>
    </w:p>
    <w:p>
      <w:pPr>
        <w:pStyle w:val="Heading2"/>
      </w:pPr>
      <w:r>
        <w:t>4.4 Modeling</w:t>
      </w:r>
    </w:p>
    <w:p>
      <w:r>
        <w:t>• Pronóstico: ExtraTrees, RandomForest, GradientBoosting</w:t>
      </w:r>
    </w:p>
    <w:p>
      <w:r>
        <w:t>• Asociación: Apriori, FP-Growth</w:t>
      </w:r>
    </w:p>
    <w:p>
      <w:r>
        <w:t>• Anomalías: LOF, Isolation Forest, One-Class SVM</w:t>
      </w:r>
    </w:p>
    <w:p>
      <w:pPr>
        <w:pStyle w:val="Heading2"/>
      </w:pPr>
      <w:r>
        <w:t>4.5 Evaluation</w:t>
      </w:r>
    </w:p>
    <w:p>
      <w:r>
        <w:rPr>
          <w:b w:val="0"/>
          <w:i w:val="0"/>
        </w:rPr>
        <w:t>Split temporal: Train (Jul24-May25) / Validation (Jun25-Sep25) / Test (Oct25-Ene26). Métricas: MAE, RMSE, WAPE, Lift, Confianza, Jaccard.</w:t>
      </w:r>
    </w:p>
    <w:p>
      <w:r>
        <w:br w:type="page"/>
      </w:r>
    </w:p>
    <w:p>
      <w:pPr>
        <w:pStyle w:val="Heading1"/>
      </w:pPr>
      <w:r>
        <w:t>5. ARQUITECTURA E IMPLEMENTACIÓN</w:t>
      </w:r>
    </w:p>
    <w:p>
      <w:pPr>
        <w:pStyle w:val="Heading2"/>
      </w:pPr>
      <w:r>
        <w:t>5.1 Arquitectura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5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1. Arquitectura del Sistema CONDIMENSA: Fuentes → Mage AI (Medallion) → PostgreSQL → Streamlit</w:t>
      </w:r>
    </w:p>
    <w:p>
      <w:pPr>
        <w:pStyle w:val="Heading2"/>
      </w:pPr>
      <w:r>
        <w:t>5.2 Pipelines Implementados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ipe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2. 7 pipelines en Mage AI: 4 Data Mining + 3 ETL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Mining</w:t>
            </w:r>
          </w:p>
        </w:tc>
      </w:tr>
      <w:tr>
        <w:tc>
          <w:tcPr>
            <w:tcW w:type="dxa" w:w="1728"/>
          </w:tcPr>
          <w:p>
            <w:r>
              <w:t>QuickBooks</w:t>
            </w:r>
          </w:p>
        </w:tc>
        <w:tc>
          <w:tcPr>
            <w:tcW w:type="dxa" w:w="1728"/>
          </w:tcPr>
          <w:p>
            <w:r>
              <w:t>etl_bronze</w:t>
            </w:r>
          </w:p>
        </w:tc>
        <w:tc>
          <w:tcPr>
            <w:tcW w:type="dxa" w:w="1728"/>
          </w:tcPr>
          <w:p>
            <w:r>
              <w:t>etl_silver</w:t>
            </w:r>
          </w:p>
        </w:tc>
        <w:tc>
          <w:tcPr>
            <w:tcW w:type="dxa" w:w="1728"/>
          </w:tcPr>
          <w:p>
            <w:r>
              <w:t>etl_gold</w:t>
            </w:r>
          </w:p>
        </w:tc>
        <w:tc>
          <w:tcPr>
            <w:tcW w:type="dxa" w:w="1728"/>
          </w:tcPr>
          <w:p>
            <w:r>
              <w:t>dm_pronostico</w:t>
            </w:r>
          </w:p>
        </w:tc>
      </w:tr>
      <w:tr>
        <w:tc>
          <w:tcPr>
            <w:tcW w:type="dxa" w:w="1728"/>
          </w:tcPr>
          <w:p>
            <w:r>
              <w:t>Kronos</w:t>
            </w:r>
          </w:p>
        </w:tc>
        <w:tc>
          <w:tcPr>
            <w:tcW w:type="dxa" w:w="1728"/>
          </w:tcPr>
          <w:p>
            <w:r>
              <w:t>etl_bronze</w:t>
            </w:r>
          </w:p>
        </w:tc>
        <w:tc>
          <w:tcPr>
            <w:tcW w:type="dxa" w:w="1728"/>
          </w:tcPr>
          <w:p>
            <w:r>
              <w:t>etl_silver</w:t>
            </w:r>
          </w:p>
        </w:tc>
        <w:tc>
          <w:tcPr>
            <w:tcW w:type="dxa" w:w="1728"/>
          </w:tcPr>
          <w:p>
            <w:r>
              <w:t>etl_gold</w:t>
            </w:r>
          </w:p>
        </w:tc>
        <w:tc>
          <w:tcPr>
            <w:tcW w:type="dxa" w:w="1728"/>
          </w:tcPr>
          <w:p>
            <w:r>
              <w:t>dm_asociacion, dm_anomalias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55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tl_bron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3. Ejecución exitosa del pipeline ETL Bronze (26 marzo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80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etl_g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4. Ejecución pipeline ETL Gold: cargar, calcular_kpis, extraer, crear_tablas</w:t>
      </w:r>
    </w:p>
    <w:p>
      <w:pPr>
        <w:pStyle w:val="Heading2"/>
      </w:pPr>
      <w:r>
        <w:t>5.3 Reglas de Calidad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2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ql_g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5. Validación SQL Gold: 2,683 filas totales, 2,656 activas, 27 inactivas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533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wrang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33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6. Wrangling Report: 14,670 rows, 904 productos, 21 periodos, 2,434 imputados</w:t>
      </w:r>
    </w:p>
    <w:p>
      <w:pPr>
        <w:pStyle w:val="Heading2"/>
      </w:pPr>
      <w:r>
        <w:t>5.4 Repositorio</w:t>
      </w:r>
    </w:p>
    <w:p>
      <w:r>
        <w:t>• GitHub: https://github.com/tonyfajardo1/proyecto-integrador</w:t>
      </w:r>
    </w:p>
    <w:p>
      <w:r>
        <w:t>• Estructura: Avance 1/ (base) y Avance 2/ (correcciones)</w:t>
      </w:r>
    </w:p>
    <w:p>
      <w:r>
        <w:t>• Semilla: random_state=42</w:t>
      </w:r>
    </w:p>
    <w:p>
      <w:r>
        <w:br w:type="page"/>
      </w:r>
    </w:p>
    <w:p>
      <w:pPr>
        <w:pStyle w:val="Heading1"/>
      </w:pPr>
      <w:r>
        <w:t>6. EXPERIMENTOS Y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2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kp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7. KPIs: Total Ventas $1,373,944, Rentabilidad $439,613, Tasa Devolución 5.8%, 10 Agencias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1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genci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8. Distribución ventas por agencia: Quito $512,415 (33%)</w:t>
      </w:r>
    </w:p>
    <w:p>
      <w:pPr>
        <w:pStyle w:val="Heading2"/>
      </w:pPr>
      <w:r>
        <w:t>6.1 Experimento 1: Pronóstico de Producción</w:t>
      </w:r>
    </w:p>
    <w:p>
      <w:r>
        <w:rPr>
          <w:b/>
          <w:i w:val="0"/>
        </w:rPr>
        <w:t>Objetivo: Predecir cantidad despachada (t+1)</w:t>
      </w:r>
    </w:p>
    <w:p>
      <w:r>
        <w:rPr>
          <w:b w:val="0"/>
          <w:i w:val="0"/>
        </w:rPr>
        <w:t>Dataset: 10,316 registros - Train: 5,667 / Validation: 2,432 / Test: 2,217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3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benchm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9. Benchmark: ExtraTrees (WAPE 0.3774) supera baseline Lag-1 en 6.71%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Mejora vs Baseline</w:t>
            </w:r>
          </w:p>
        </w:tc>
      </w:tr>
      <w:tr>
        <w:tc>
          <w:tcPr>
            <w:tcW w:type="dxa" w:w="1728"/>
          </w:tcPr>
          <w:p>
            <w:r>
              <w:t>ExtraTrees</w:t>
            </w:r>
          </w:p>
        </w:tc>
        <w:tc>
          <w:tcPr>
            <w:tcW w:type="dxa" w:w="1728"/>
          </w:tcPr>
          <w:p>
            <w:r>
              <w:t>2,790.86</w:t>
            </w:r>
          </w:p>
        </w:tc>
        <w:tc>
          <w:tcPr>
            <w:tcW w:type="dxa" w:w="1728"/>
          </w:tcPr>
          <w:p>
            <w:r>
              <w:t>9,280.11</w:t>
            </w:r>
          </w:p>
        </w:tc>
        <w:tc>
          <w:tcPr>
            <w:tcW w:type="dxa" w:w="1728"/>
          </w:tcPr>
          <w:p>
            <w:r>
              <w:t>0.3774</w:t>
            </w:r>
          </w:p>
        </w:tc>
        <w:tc>
          <w:tcPr>
            <w:tcW w:type="dxa" w:w="1728"/>
          </w:tcPr>
          <w:p>
            <w:r>
              <w:t>+6.71%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2,860.15</w:t>
            </w:r>
          </w:p>
        </w:tc>
        <w:tc>
          <w:tcPr>
            <w:tcW w:type="dxa" w:w="1728"/>
          </w:tcPr>
          <w:p>
            <w:r>
              <w:t>9,534.26</w:t>
            </w:r>
          </w:p>
        </w:tc>
        <w:tc>
          <w:tcPr>
            <w:tcW w:type="dxa" w:w="1728"/>
          </w:tcPr>
          <w:p>
            <w:r>
              <w:t>0.3867</w:t>
            </w:r>
          </w:p>
        </w:tc>
        <w:tc>
          <w:tcPr>
            <w:tcW w:type="dxa" w:w="1728"/>
          </w:tcPr>
          <w:p>
            <w:r>
              <w:t>+5.77%</w:t>
            </w:r>
          </w:p>
        </w:tc>
      </w:tr>
      <w:tr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2,904.00</w:t>
            </w:r>
          </w:p>
        </w:tc>
        <w:tc>
          <w:tcPr>
            <w:tcW w:type="dxa" w:w="1728"/>
          </w:tcPr>
          <w:p>
            <w:r>
              <w:t>9,949.91</w:t>
            </w:r>
          </w:p>
        </w:tc>
        <w:tc>
          <w:tcPr>
            <w:tcW w:type="dxa" w:w="1728"/>
          </w:tcPr>
          <w:p>
            <w:r>
              <w:t>0.3927</w:t>
            </w:r>
          </w:p>
        </w:tc>
        <w:tc>
          <w:tcPr>
            <w:tcW w:type="dxa" w:w="1728"/>
          </w:tcPr>
          <w:p>
            <w:r>
              <w:t>+5.18%</w:t>
            </w:r>
          </w:p>
        </w:tc>
      </w:tr>
      <w:tr>
        <w:tc>
          <w:tcPr>
            <w:tcW w:type="dxa" w:w="1728"/>
          </w:tcPr>
          <w:p>
            <w:r>
              <w:t>Baseline_Lag1</w:t>
            </w:r>
          </w:p>
        </w:tc>
        <w:tc>
          <w:tcPr>
            <w:tcW w:type="dxa" w:w="1728"/>
          </w:tcPr>
          <w:p>
            <w:r>
              <w:t>3,287.20</w:t>
            </w:r>
          </w:p>
        </w:tc>
        <w:tc>
          <w:tcPr>
            <w:tcW w:type="dxa" w:w="1728"/>
          </w:tcPr>
          <w:p>
            <w:r>
              <w:t>11,339.15</w:t>
            </w:r>
          </w:p>
        </w:tc>
        <w:tc>
          <w:tcPr>
            <w:tcW w:type="dxa" w:w="1728"/>
          </w:tcPr>
          <w:p>
            <w:r>
              <w:t>0.4445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5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pronostic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10. Dashboard pronósticos: 724 productos, 19.6M unidades recomendadas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27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11. Scatter Pronóstico vs Plan histórico con niveles de confianza</w:t>
      </w:r>
    </w:p>
    <w:p>
      <w:r>
        <w:rPr>
          <w:b/>
          <w:i w:val="0"/>
        </w:rPr>
        <w:t>Hallazgos:</w:t>
      </w:r>
    </w:p>
    <w:p>
      <w:r>
        <w:t>• ExtraTrees reduce error de planificación en 6.71%</w:t>
      </w:r>
    </w:p>
    <w:p>
      <w:r>
        <w:t>• Variables importantes: lag_1, lag_2, tendencia_3m</w:t>
      </w:r>
    </w:p>
    <w:p>
      <w:r>
        <w:t>• Aplicación: ajustar órdenes de producción con anticipación</w:t>
      </w:r>
    </w:p>
    <w:p>
      <w:pPr>
        <w:pStyle w:val="Heading2"/>
      </w:pPr>
      <w:r>
        <w:t>6.2 Experimento 2: Reglas de Asociación (Cross-Selling)</w:t>
      </w:r>
    </w:p>
    <w:p>
      <w:r>
        <w:rPr>
          <w:b/>
          <w:i w:val="0"/>
        </w:rPr>
        <w:t>Objetivo: Identificar productos que se venden juntos</w:t>
      </w:r>
    </w:p>
    <w:p>
      <w:r>
        <w:rPr>
          <w:b w:val="0"/>
          <w:i w:val="0"/>
        </w:rPr>
        <w:t>Dataset: ~2,500 transacciones, min_support=0.02, min_confidence=0.35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71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prior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12. Cross-Selling: 9 reglas, Lift máximo 15.57, Confianza 52%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11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apriori_detal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13. Interpretación métricas + Lift por regla + Recomendaciones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Reglas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Lift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Confianza 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Jaccard</w:t>
            </w:r>
          </w:p>
        </w:tc>
      </w:tr>
      <w:tr>
        <w:tc>
          <w:tcPr>
            <w:tcW w:type="dxa" w:w="1728"/>
          </w:tcPr>
          <w:p>
            <w:r>
              <w:t>FPGrowth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15.57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Apriori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15.57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</w:tbl>
    <w:p>
      <w:r>
        <w:rPr>
          <w:b w:val="0"/>
          <w:i/>
        </w:rPr>
        <w:t>Recomendación principal: Cuando un cliente compra FDA POPULAR 5 NEGRO LLANA, hay 70% probabilidad de que compre FDA POPULAR 2 NEGRO LLANA (Lift 15.6x).</w:t>
      </w:r>
    </w:p>
    <w:p>
      <w:r>
        <w:rPr>
          <w:b/>
          <w:i w:val="0"/>
        </w:rPr>
        <w:t>Hallazgos:</w:t>
      </w:r>
    </w:p>
    <w:p>
      <w:r>
        <w:t>• 9 reglas estables con confianza &gt;50%</w:t>
      </w:r>
    </w:p>
    <w:p>
      <w:r>
        <w:t>• Lift 15.57 indica asociaciones muy fuertes</w:t>
      </w:r>
    </w:p>
    <w:p>
      <w:r>
        <w:t>• Aplicación: crear combos, optimizar layout de tienda</w:t>
      </w:r>
    </w:p>
    <w:p>
      <w:pPr>
        <w:pStyle w:val="Heading2"/>
      </w:pPr>
      <w:r>
        <w:t>6.3 Experimento 3: Detección de Anomalías</w:t>
      </w:r>
    </w:p>
    <w:p>
      <w:r>
        <w:rPr>
          <w:b/>
          <w:i w:val="0"/>
        </w:rPr>
        <w:t>Objetivo: Identificar agencias atípicas</w:t>
      </w:r>
    </w:p>
    <w:p>
      <w:r>
        <w:rPr>
          <w:b w:val="0"/>
          <w:i w:val="0"/>
        </w:rPr>
        <w:t>Dataset: 10 agencias, contamination=10%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65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nomal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14. 10 agencias analizadas, 1 anomalía (QUITO)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99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nomalias_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15. Mapa Devolución vs Rentabilidad + Tabla completa de agencias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Anomalías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Bootstrap Jaccard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160"/>
          </w:tcPr>
          <w:p>
            <w:r>
              <w:t>LOF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</w:tr>
      <w:tr>
        <w:tc>
          <w:tcPr>
            <w:tcW w:type="dxa" w:w="2160"/>
          </w:tcPr>
          <w:p>
            <w:r>
              <w:t>IsolationForest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  <w:tr>
        <w:tc>
          <w:tcPr>
            <w:tcW w:type="dxa" w:w="2160"/>
          </w:tcPr>
          <w:p>
            <w:r>
              <w:t>PCA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</w:tr>
    </w:tbl>
    <w:p>
      <w:r>
        <w:rPr>
          <w:b/>
          <w:i w:val="0"/>
        </w:rPr>
        <w:t>Detalle QUITO (anomalía):</w:t>
      </w:r>
    </w:p>
    <w:p>
      <w:r>
        <w:t>• Tasa Devolución: 5.6%, Rentabilidad: 35.2%, Total Ventas: $512,415</w:t>
      </w:r>
    </w:p>
    <w:p>
      <w:r>
        <w:t>• Tipo: ALTA_RENTABILIDAD, BAJO_COSTO, ALTO_TICKET</w:t>
      </w:r>
    </w:p>
    <w:p>
      <w:r>
        <w:br w:type="page"/>
      </w:r>
    </w:p>
    <w:p>
      <w:pPr>
        <w:pStyle w:val="Heading1"/>
      </w:pPr>
      <w:r>
        <w:t>7. VALIDACIÓN METODOLÓGICA</w:t>
      </w:r>
    </w:p>
    <w:p>
      <w:pPr>
        <w:pStyle w:val="Heading2"/>
      </w:pPr>
      <w:r>
        <w:t>7.1 Control de Leakage</w:t>
      </w:r>
    </w:p>
    <w:p>
      <w:r>
        <w:t>• ✓ Target representa evento futuro (t+1)</w:t>
      </w:r>
    </w:p>
    <w:p>
      <w:r>
        <w:t>• ✓ Features no contienen información del target</w:t>
      </w:r>
    </w:p>
    <w:p>
      <w:r>
        <w:t>• ✓ Split temporal aplicado</w:t>
      </w:r>
    </w:p>
    <w:p>
      <w:r>
        <w:t>• ✓ Transformaciones solo en train</w:t>
      </w:r>
    </w:p>
    <w:p>
      <w:pPr>
        <w:pStyle w:val="Heading2"/>
      </w:pPr>
      <w:r>
        <w:t>7.2 Control de Overfitting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Train-Val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 Val-Test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ExtraTrees</w:t>
            </w:r>
          </w:p>
        </w:tc>
        <w:tc>
          <w:tcPr>
            <w:tcW w:type="dxa" w:w="2160"/>
          </w:tcPr>
          <w:p>
            <w:r>
              <w:t>0.2065</w:t>
            </w:r>
          </w:p>
        </w:tc>
        <w:tc>
          <w:tcPr>
            <w:tcW w:type="dxa" w:w="2160"/>
          </w:tcPr>
          <w:p>
            <w:r>
              <w:t>0.0496</w:t>
            </w:r>
          </w:p>
        </w:tc>
        <w:tc>
          <w:tcPr>
            <w:tcW w:type="dxa" w:w="2160"/>
          </w:tcPr>
          <w:p>
            <w:r>
              <w:t>Generaliza bien</w:t>
            </w:r>
          </w:p>
        </w:tc>
      </w:tr>
    </w:tbl>
    <w:p>
      <w:r>
        <w:rPr>
          <w:b w:val="0"/>
          <w:i w:val="0"/>
        </w:rPr>
        <w:t>Gap val-test pequeño (&lt;0.06) confirma generalización adecuada.</w:t>
      </w:r>
    </w:p>
    <w:p>
      <w:r>
        <w:br w:type="page"/>
      </w:r>
    </w:p>
    <w:p>
      <w:pPr>
        <w:pStyle w:val="Heading1"/>
      </w:pPr>
      <w:r>
        <w:t>8. DISCUSIÓN</w:t>
      </w:r>
    </w:p>
    <w:p>
      <w:pPr>
        <w:pStyle w:val="Heading2"/>
      </w:pPr>
      <w:r>
        <w:t>8.1 Respuestas a Preguntas de Negocio</w:t>
      </w:r>
    </w:p>
    <w:p>
      <w:r>
        <w:t>• P1 (Pronóstico): ExtraTrees con WAPE 0.3774 supera baseline en 6.71%</w:t>
      </w:r>
    </w:p>
    <w:p>
      <w:r>
        <w:t>• P2 (Cross-selling): 9 reglas estables con Lift 15.57</w:t>
      </w:r>
    </w:p>
    <w:p>
      <w:r>
        <w:t>• P3 (Anomalías): QUITO detectada con estabilidad 70%</w:t>
      </w:r>
    </w:p>
    <w:p>
      <w:pPr>
        <w:pStyle w:val="Heading2"/>
      </w:pPr>
      <w:r>
        <w:t>8.2 Implicaciones para CONDIMENSA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Producción</w:t>
            </w:r>
          </w:p>
        </w:tc>
        <w:tc>
          <w:tcPr>
            <w:tcW w:type="dxa" w:w="2160"/>
          </w:tcPr>
          <w:p>
            <w:r>
              <w:t>-6.71% error</w:t>
            </w:r>
          </w:p>
        </w:tc>
        <w:tc>
          <w:tcPr>
            <w:tcW w:type="dxa" w:w="2160"/>
          </w:tcPr>
          <w:p>
            <w:r>
              <w:t>Ajustar órdenes</w:t>
            </w:r>
          </w:p>
        </w:tc>
        <w:tc>
          <w:tcPr>
            <w:tcW w:type="dxa" w:w="2160"/>
          </w:tcPr>
          <w:p>
            <w:r>
              <w:t>Reducir inventario</w:t>
            </w:r>
          </w:p>
        </w:tc>
      </w:tr>
      <w:tr>
        <w:tc>
          <w:tcPr>
            <w:tcW w:type="dxa" w:w="2160"/>
          </w:tcPr>
          <w:p>
            <w:r>
              <w:t>Comercial</w:t>
            </w:r>
          </w:p>
        </w:tc>
        <w:tc>
          <w:tcPr>
            <w:tcW w:type="dxa" w:w="2160"/>
          </w:tcPr>
          <w:p>
            <w:r>
              <w:t>9 reglas</w:t>
            </w:r>
          </w:p>
        </w:tc>
        <w:tc>
          <w:tcPr>
            <w:tcW w:type="dxa" w:w="2160"/>
          </w:tcPr>
          <w:p>
            <w:r>
              <w:t>Crear combos</w:t>
            </w:r>
          </w:p>
        </w:tc>
        <w:tc>
          <w:tcPr>
            <w:tcW w:type="dxa" w:w="2160"/>
          </w:tcPr>
          <w:p>
            <w:r>
              <w:t>Aumentar ticket</w:t>
            </w:r>
          </w:p>
        </w:tc>
      </w:tr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1 anomalía</w:t>
            </w:r>
          </w:p>
        </w:tc>
        <w:tc>
          <w:tcPr>
            <w:tcW w:type="dxa" w:w="2160"/>
          </w:tcPr>
          <w:p>
            <w:r>
              <w:t>Auditoría</w:t>
            </w:r>
          </w:p>
        </w:tc>
        <w:tc>
          <w:tcPr>
            <w:tcW w:type="dxa" w:w="2160"/>
          </w:tcPr>
          <w:p>
            <w:r>
              <w:t>Reducir riesgo</w:t>
            </w:r>
          </w:p>
        </w:tc>
      </w:tr>
    </w:tbl>
    <w:p>
      <w:pPr>
        <w:pStyle w:val="Heading2"/>
      </w:pPr>
      <w:r>
        <w:t>8.3 Limitaciones</w:t>
      </w:r>
    </w:p>
    <w:p>
      <w:r>
        <w:t>• N=10 agencias limita robustez de anomalías</w:t>
      </w:r>
    </w:p>
    <w:p>
      <w:r>
        <w:t>• 18 meses puede no capturar estacionalidad completa</w:t>
      </w:r>
    </w:p>
    <w:p>
      <w:r>
        <w:t>• Validación operativa con stakeholders pendiente</w:t>
      </w:r>
    </w:p>
    <w:p>
      <w:r>
        <w:br w:type="page"/>
      </w:r>
    </w:p>
    <w:p>
      <w:pPr>
        <w:pStyle w:val="Heading1"/>
      </w:pPr>
      <w:r>
        <w:t>9. AVANCE VS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Documento planificación</w:t>
            </w:r>
          </w:p>
        </w:tc>
        <w:tc>
          <w:tcPr>
            <w:tcW w:type="dxa" w:w="2880"/>
          </w:tcPr>
          <w:p>
            <w:r>
              <w:t>Semana 1-2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Estado del arte</w:t>
            </w:r>
          </w:p>
        </w:tc>
        <w:tc>
          <w:tcPr>
            <w:tcW w:type="dxa" w:w="2880"/>
          </w:tcPr>
          <w:p>
            <w:r>
              <w:t>Semana 1-3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Data Mart PostgreSQL</w:t>
            </w:r>
          </w:p>
        </w:tc>
        <w:tc>
          <w:tcPr>
            <w:tcW w:type="dxa" w:w="2880"/>
          </w:tcPr>
          <w:p>
            <w:r>
              <w:t>Semana 2-3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Pipelines ETL</w:t>
            </w:r>
          </w:p>
        </w:tc>
        <w:tc>
          <w:tcPr>
            <w:tcW w:type="dxa" w:w="2880"/>
          </w:tcPr>
          <w:p>
            <w:r>
              <w:t>Semana 3-4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Pipelines DM</w:t>
            </w:r>
          </w:p>
        </w:tc>
        <w:tc>
          <w:tcPr>
            <w:tcW w:type="dxa" w:w="2880"/>
          </w:tcPr>
          <w:p>
            <w:r>
              <w:t>Semana 4-5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Semana 4-5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  <w:tr>
        <w:tc>
          <w:tcPr>
            <w:tcW w:type="dxa" w:w="2880"/>
          </w:tcPr>
          <w:p>
            <w:r>
              <w:t>Experimentación</w:t>
            </w:r>
          </w:p>
        </w:tc>
        <w:tc>
          <w:tcPr>
            <w:tcW w:type="dxa" w:w="2880"/>
          </w:tcPr>
          <w:p>
            <w:r>
              <w:t>Semana 5</w:t>
            </w:r>
          </w:p>
        </w:tc>
        <w:tc>
          <w:tcPr>
            <w:tcW w:type="dxa" w:w="2880"/>
          </w:tcPr>
          <w:p>
            <w:r>
              <w:t>✓ OK</w:t>
            </w:r>
          </w:p>
        </w:tc>
      </w:tr>
    </w:tbl>
    <w:p>
      <w:r>
        <w:rPr>
          <w:b/>
          <w:i w:val="0"/>
        </w:rPr>
        <w:t>Avance: 100% completado</w:t>
      </w:r>
    </w:p>
    <w:p>
      <w:r>
        <w:br w:type="page"/>
      </w:r>
    </w:p>
    <w:p>
      <w:pPr>
        <w:pStyle w:val="Heading1"/>
      </w:pPr>
      <w:r>
        <w:t>10. CONCLUSIONES Y SIGUIENTES PASOS</w:t>
      </w:r>
    </w:p>
    <w:p>
      <w:pPr>
        <w:pStyle w:val="Heading2"/>
      </w:pPr>
      <w:r>
        <w:t>10.1 Conclusiones</w:t>
      </w:r>
    </w:p>
    <w:p>
      <w:r>
        <w:t>• Validez metodológica: Split temporal, control anti-leakage, métricas completas</w:t>
      </w:r>
    </w:p>
    <w:p>
      <w:r>
        <w:t>• Arquitectura justificada: OLTP/OLAP con Medallion fundamentada</w:t>
      </w:r>
    </w:p>
    <w:p>
      <w:r>
        <w:t>• Resultados accionables: -6.71% error, 9 reglas cross-selling, 1 anomalía</w:t>
      </w:r>
    </w:p>
    <w:p>
      <w:r>
        <w:t>• Contribución: Data Mining en manufactura ecuatoriana con stack open-source</w:t>
      </w:r>
    </w:p>
    <w:p>
      <w:pPr>
        <w:pStyle w:val="Heading2"/>
      </w:pPr>
      <w:r>
        <w:t>10.2 Siguientes Pasos</w:t>
      </w:r>
    </w:p>
    <w:p>
      <w:r>
        <w:t>• 1. Validación con usuarios CONDIMENSA</w:t>
      </w:r>
    </w:p>
    <w:p>
      <w:r>
        <w:t>• 2. Refinamiento de modelos según feedback</w:t>
      </w:r>
    </w:p>
    <w:p>
      <w:r>
        <w:t>• 3. Despliegue productivo</w:t>
      </w:r>
    </w:p>
    <w:p>
      <w:r>
        <w:t>• 4. Documentación final</w:t>
      </w:r>
    </w:p>
    <w:p>
      <w:r>
        <w:br w:type="page"/>
      </w:r>
    </w:p>
    <w:p>
      <w:pPr>
        <w:pStyle w:val="Heading1"/>
      </w:pPr>
      <w:r>
        <w:t>11. REFERENCIAS</w:t>
      </w:r>
    </w:p>
    <w:p>
      <w:pPr>
        <w:ind w:left="720" w:hanging="720"/>
      </w:pPr>
      <w:r>
        <w:t>[1] Gu, Y., Chen, X., &amp; Wang, L. (2024). Understanding and predicting online product return behavior. Int. J. Production Economics, 267, 109066.</w:t>
      </w:r>
    </w:p>
    <w:p>
      <w:pPr>
        <w:ind w:left="720" w:hanging="720"/>
      </w:pPr>
      <w:r>
        <w:t>[2] Zhang, H., Liu, M., &amp; Chen, S. (2024). Return management in e-commerce firms. J. Cleaner Production, 434, 140123.</w:t>
      </w:r>
    </w:p>
    <w:p>
      <w:pPr>
        <w:ind w:left="720" w:hanging="720"/>
      </w:pPr>
      <w:r>
        <w:t>[3] Baur, A., Schmidt, K., &amp; Weber, M. (2025). Machine learning for garment returns prediction. SN Computer Science, 6(2), 89.</w:t>
      </w:r>
    </w:p>
    <w:p>
      <w:pPr>
        <w:ind w:left="720" w:hanging="720"/>
      </w:pPr>
      <w:r>
        <w:t>[4] Santos, R., Ferreira, P., &amp; Oliveira, T. (2025). Anomaly detection in enterprise purchase processes. Information, 16(3), 177.</w:t>
      </w:r>
    </w:p>
    <w:p>
      <w:pPr>
        <w:ind w:left="720" w:hanging="720"/>
      </w:pPr>
      <w:r>
        <w:t>[5] Jadhav, A., Jadhav, A., &amp; Jadhav, R. D. (2023). Association rule mining in retail. SSRN.</w:t>
      </w:r>
    </w:p>
    <w:p>
      <w:pPr>
        <w:ind w:left="720" w:hanging="720"/>
      </w:pPr>
      <w:r>
        <w:t>[6] Kimball, R., &amp; Ross, M. (2013). The Data Warehouse Toolkit (3rd ed.). Wiley.</w:t>
      </w:r>
    </w:p>
    <w:p>
      <w:pPr>
        <w:ind w:left="720" w:hanging="720"/>
      </w:pPr>
      <w:r>
        <w:t>[7] Chapman, P. et al. (2000). CRISP-DM 1.0. SPSS Inc.</w:t>
      </w:r>
    </w:p>
    <w:p>
      <w:pPr>
        <w:ind w:left="720" w:hanging="720"/>
      </w:pPr>
      <w:r>
        <w:t>[8] Liu, F. T., Ting, K. M., &amp; Zhou, Z. H. (2008). Isolation forest. IEEE ICDM, 413-422.</w:t>
      </w:r>
    </w:p>
    <w:p>
      <w:pPr>
        <w:ind w:left="720" w:hanging="720"/>
      </w:pPr>
      <w:r>
        <w:t>[9] Agrawal, R., &amp; Srikant, R. (1994). Fast algorithms for mining association rules. VLDB, 487-499.</w:t>
      </w:r>
    </w:p>
    <w:p>
      <w:r>
        <w:br w:type="page"/>
      </w:r>
    </w:p>
    <w:p>
      <w:pPr>
        <w:pStyle w:val="Heading1"/>
      </w:pPr>
      <w:r>
        <w:t>12. ANEXOS</w:t>
      </w:r>
    </w:p>
    <w:p>
      <w:pPr>
        <w:pStyle w:val="Heading2"/>
      </w:pPr>
      <w:r>
        <w:t>Anexo A: Diccionario de Datos</w:t>
      </w:r>
    </w:p>
    <w:p>
      <w:r>
        <w:rPr>
          <w:b w:val="0"/>
          <w:i w:val="0"/>
        </w:rPr>
        <w:t>Ver sql/00_crear_todas_tablas.sql en repositorio</w:t>
      </w:r>
    </w:p>
    <w:p>
      <w:pPr>
        <w:pStyle w:val="Heading2"/>
      </w:pPr>
      <w:r>
        <w:t>Anexo B: Evidencias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097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ql_sil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A1. Query Silver: tipo_producto, producto, periodo, qty_planificada, qty_fabricada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420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estructur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A2. Estructura del proyecto de forecasting</w:t>
      </w:r>
    </w:p>
    <w:p>
      <w:pPr>
        <w:pStyle w:val="Heading2"/>
      </w:pPr>
      <w:r>
        <w:t>Anexo C: Repositorio</w:t>
      </w:r>
    </w:p>
    <w:p>
      <w:r>
        <w:rPr>
          <w:b w:val="0"/>
          <w:i w:val="0"/>
        </w:rPr>
        <w:t>GitHub: https://github.com/tonyfajardo1/proyecto-integrador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