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DD0F" w14:textId="77777777" w:rsidR="00AB6830" w:rsidRDefault="00000000">
      <w:pPr>
        <w:jc w:val="center"/>
      </w:pPr>
      <w:r>
        <w:rPr>
          <w:b/>
          <w:sz w:val="40"/>
        </w:rPr>
        <w:t>Synthèse opérationnelle</w:t>
      </w:r>
      <w:r>
        <w:rPr>
          <w:b/>
          <w:sz w:val="40"/>
        </w:rPr>
        <w:br/>
        <w:t>Kubernetes Cluster Management</w:t>
      </w:r>
      <w:r>
        <w:rPr>
          <w:b/>
          <w:sz w:val="40"/>
        </w:rPr>
        <w:br/>
        <w:t>(Chapitre 2 + Chapitre 4)</w:t>
      </w:r>
    </w:p>
    <w:p w14:paraId="35247E76" w14:textId="77777777" w:rsidR="00AB6830" w:rsidRDefault="00000000">
      <w:pPr>
        <w:jc w:val="center"/>
      </w:pPr>
      <w:r>
        <w:t>Source : "Managing Your Kubernetes Clusters For Dummies – Red Hat Special Edition" (2021)</w:t>
      </w:r>
      <w:r>
        <w:br/>
        <w:t>Date : 21/01/2026</w:t>
      </w:r>
    </w:p>
    <w:p w14:paraId="54145201" w14:textId="77777777" w:rsidR="00AB6830" w:rsidRDefault="00AB6830"/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AB6830" w14:paraId="445CF60F" w14:textId="77777777" w:rsidTr="00AB6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A9AC1BD" w14:textId="77777777" w:rsidR="00AB6830" w:rsidRDefault="00000000">
            <w:r>
              <w:t>Objectif</w:t>
            </w:r>
          </w:p>
        </w:tc>
        <w:tc>
          <w:tcPr>
            <w:tcW w:w="4873" w:type="dxa"/>
          </w:tcPr>
          <w:p w14:paraId="0E072D2E" w14:textId="77777777" w:rsidR="00AB68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Capturer l’essentiel des défis de gestion de clusters Kubernetes (Ch.2) et des critères de choix d’un outillage de gestion (Ch.4).</w:t>
            </w:r>
          </w:p>
        </w:tc>
      </w:tr>
      <w:tr w:rsidR="00AB6830" w14:paraId="295BCEB8" w14:textId="77777777" w:rsidTr="00AB6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D5867B4" w14:textId="77777777" w:rsidR="00AB6830" w:rsidRDefault="00000000">
            <w:r>
              <w:t>Pour toi, concret</w:t>
            </w:r>
          </w:p>
        </w:tc>
        <w:tc>
          <w:tcPr>
            <w:tcW w:w="4873" w:type="dxa"/>
          </w:tcPr>
          <w:p w14:paraId="038F3E75" w14:textId="77777777" w:rsidR="00AB6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 donner une base claire pour structurer un lab, un runbook et une démarche DevSecOps/SRE (drift, policies, conformité, dispo, visibilité, cycle de vie).</w:t>
            </w:r>
          </w:p>
        </w:tc>
      </w:tr>
      <w:tr w:rsidR="00AB6830" w14:paraId="2B125FF9" w14:textId="77777777" w:rsidTr="00AB6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21635DF" w14:textId="77777777" w:rsidR="00AB6830" w:rsidRDefault="00000000">
            <w:r>
              <w:t>Périmètre</w:t>
            </w:r>
          </w:p>
        </w:tc>
        <w:tc>
          <w:tcPr>
            <w:tcW w:w="4873" w:type="dxa"/>
          </w:tcPr>
          <w:p w14:paraId="691D7B5C" w14:textId="77777777" w:rsidR="00AB683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Synthèse neutre (les exemples du livre sont souvent orientés éditeur, mais les principes restent applicables quel que soit l’outillage).</w:t>
            </w:r>
          </w:p>
        </w:tc>
      </w:tr>
    </w:tbl>
    <w:p w14:paraId="7AF8AE57" w14:textId="77777777" w:rsidR="00AB6830" w:rsidRDefault="00AB6830"/>
    <w:p w14:paraId="31454C79" w14:textId="77777777" w:rsidR="00AB6830" w:rsidRDefault="00000000">
      <w:pPr>
        <w:pStyle w:val="Titre1"/>
      </w:pPr>
      <w:r>
        <w:t>1. Chapitre 2 — Défis de gestion des clusters Kubernetes</w:t>
      </w:r>
    </w:p>
    <w:p w14:paraId="4A938404" w14:textId="77777777" w:rsidR="00AB6830" w:rsidRDefault="00000000">
      <w:pPr>
        <w:pStyle w:val="Titre2"/>
      </w:pPr>
      <w:r>
        <w:t>1.1. La gestion Kubernetes est une trajectoire</w:t>
      </w:r>
    </w:p>
    <w:p w14:paraId="183C60ED" w14:textId="77777777" w:rsidR="00AB6830" w:rsidRDefault="00000000">
      <w:r>
        <w:rPr>
          <w:b/>
        </w:rPr>
        <w:t xml:space="preserve">Idée centrale : </w:t>
      </w:r>
      <w:r>
        <w:t>on commence rarement avec un seul cluster ; la complexité augmente vite (multi-cluster puis distribué). Les pratiques qui “passent” à 1 cluster deviennent insuffisantes à l’échelle.</w:t>
      </w:r>
    </w:p>
    <w:p w14:paraId="5F5F24E9" w14:textId="77777777" w:rsidR="00AB6830" w:rsidRDefault="00000000">
      <w:pPr>
        <w:pStyle w:val="Titre2"/>
      </w:pPr>
      <w:r>
        <w:t>1.2. Défis par stade de maturité</w:t>
      </w:r>
    </w:p>
    <w:p w14:paraId="6017DD0D" w14:textId="77777777" w:rsidR="00AB6830" w:rsidRDefault="00000000">
      <w:r>
        <w:rPr>
          <w:b/>
        </w:rPr>
        <w:t>A) Environnement à cluster unique</w:t>
      </w:r>
    </w:p>
    <w:p w14:paraId="0E8836D5" w14:textId="77777777" w:rsidR="00AB6830" w:rsidRDefault="00000000">
      <w:pPr>
        <w:pStyle w:val="Listepuces"/>
      </w:pPr>
      <w:r>
        <w:t>Contrôler le configuration drift (écarts entre configuration voulue et réelle).</w:t>
      </w:r>
    </w:p>
    <w:p w14:paraId="1AAC4D91" w14:textId="77777777" w:rsidR="00AB6830" w:rsidRDefault="00000000">
      <w:pPr>
        <w:pStyle w:val="Listepuces"/>
      </w:pPr>
      <w:r>
        <w:t>Éliminer les déploiements applicatifs manuels, sources d’erreurs, entre dev et prod.</w:t>
      </w:r>
    </w:p>
    <w:p w14:paraId="5F287264" w14:textId="77777777" w:rsidR="00AB6830" w:rsidRDefault="00000000">
      <w:pPr>
        <w:pStyle w:val="Listepuces"/>
      </w:pPr>
      <w:r>
        <w:t>Simplifier et standardiser le provisioning du cluster (qui fait quoi, comment, avec quelles garanties).</w:t>
      </w:r>
    </w:p>
    <w:p w14:paraId="2DB94171" w14:textId="77777777" w:rsidR="00AB6830" w:rsidRDefault="00000000">
      <w:r>
        <w:rPr>
          <w:b/>
        </w:rPr>
        <w:t>B) Environnement multi-clusters</w:t>
      </w:r>
    </w:p>
    <w:p w14:paraId="37106118" w14:textId="77777777" w:rsidR="00AB6830" w:rsidRDefault="00000000">
      <w:pPr>
        <w:pStyle w:val="Listepuces"/>
      </w:pPr>
      <w:r>
        <w:t>Maintenir une configuration cohérente et sécurisée sur tous les clusters (éviter le drift à grande échelle).</w:t>
      </w:r>
    </w:p>
    <w:p w14:paraId="0A69B5C8" w14:textId="77777777" w:rsidR="00AB6830" w:rsidRDefault="00000000">
      <w:pPr>
        <w:pStyle w:val="Listepuces"/>
      </w:pPr>
      <w:r>
        <w:t>Déployer et mettre à jour des applications de façon uniforme sur plusieurs clusters.</w:t>
      </w:r>
    </w:p>
    <w:p w14:paraId="146F67E4" w14:textId="77777777" w:rsidR="00AB6830" w:rsidRDefault="00000000">
      <w:pPr>
        <w:pStyle w:val="Listepuces"/>
      </w:pPr>
      <w:r>
        <w:t>Garder une visibilité et un inventaire fiables : où sont les workloads, dans quelle version, avec quelles ressources ?</w:t>
      </w:r>
    </w:p>
    <w:p w14:paraId="10F14C14" w14:textId="77777777" w:rsidR="00AB6830" w:rsidRDefault="00000000">
      <w:r>
        <w:rPr>
          <w:b/>
        </w:rPr>
        <w:t>C) Environnement distribué (enterprise / edge / multi-cloud)</w:t>
      </w:r>
    </w:p>
    <w:p w14:paraId="1400623A" w14:textId="77777777" w:rsidR="00AB6830" w:rsidRDefault="00000000">
      <w:pPr>
        <w:pStyle w:val="Listepuces"/>
      </w:pPr>
      <w:r>
        <w:t>Avoir une “single pane of glass” (vue unifiée) et une visibilité end-to-end pour les équipes DevOps/ops.</w:t>
      </w:r>
    </w:p>
    <w:p w14:paraId="6DC4FF11" w14:textId="77777777" w:rsidR="00AB6830" w:rsidRDefault="00000000">
      <w:pPr>
        <w:pStyle w:val="Listepuces"/>
      </w:pPr>
      <w:r>
        <w:t>Déployer et distribuer des applications à grande échelle.</w:t>
      </w:r>
    </w:p>
    <w:p w14:paraId="397A31A0" w14:textId="77777777" w:rsidR="00AB6830" w:rsidRDefault="00000000">
      <w:pPr>
        <w:pStyle w:val="Listepuces"/>
      </w:pPr>
      <w:r>
        <w:lastRenderedPageBreak/>
        <w:t>Activer le SSO pour des applications distribuées.</w:t>
      </w:r>
    </w:p>
    <w:p w14:paraId="1FCEAA1C" w14:textId="77777777" w:rsidR="00AB6830" w:rsidRDefault="00000000">
      <w:pPr>
        <w:pStyle w:val="Listepuces"/>
      </w:pPr>
      <w:r>
        <w:t>Gérer audit et conformité sur l’ensemble du domaine (preuves, contrôles, traçabilité).</w:t>
      </w:r>
    </w:p>
    <w:p w14:paraId="5660A5A0" w14:textId="77777777" w:rsidR="00AB6830" w:rsidRDefault="00000000">
      <w:pPr>
        <w:pStyle w:val="Titre2"/>
      </w:pPr>
      <w:r>
        <w:t>1.3. Les questions auxquelles un outillage avancé doit répondre</w:t>
      </w:r>
    </w:p>
    <w:p w14:paraId="54BEC078" w14:textId="77777777" w:rsidR="00AB6830" w:rsidRDefault="00000000">
      <w:pPr>
        <w:pStyle w:val="Listenumros"/>
      </w:pPr>
      <w:r>
        <w:t>Comment gérer le cycle de vie de plusieurs clusters (on-prem et clouds) depuis un contrôle central ?</w:t>
      </w:r>
    </w:p>
    <w:p w14:paraId="34EA912A" w14:textId="77777777" w:rsidR="00AB6830" w:rsidRDefault="00000000">
      <w:pPr>
        <w:pStyle w:val="Listenumros"/>
      </w:pPr>
      <w:r>
        <w:t>Comment suivre l’usage et la santé sur plusieurs environnements ?</w:t>
      </w:r>
    </w:p>
    <w:p w14:paraId="25CFBC5F" w14:textId="77777777" w:rsidR="00AB6830" w:rsidRDefault="00000000">
      <w:pPr>
        <w:pStyle w:val="Listenumros"/>
      </w:pPr>
      <w:r>
        <w:t>Comment automatiser provisioning/deprovisioning, placement des workloads (capacité + politiques) et déploiement des mises à jour jusqu’à la production ?</w:t>
      </w:r>
    </w:p>
    <w:p w14:paraId="2D7A4043" w14:textId="77777777" w:rsidR="00AB6830" w:rsidRDefault="00000000">
      <w:pPr>
        <w:pStyle w:val="Titre2"/>
      </w:pPr>
      <w:r>
        <w:t>1.4. Sécurité et conformité</w:t>
      </w:r>
    </w:p>
    <w:p w14:paraId="46000336" w14:textId="77777777" w:rsidR="00AB6830" w:rsidRDefault="00000000">
      <w:r>
        <w:rPr>
          <w:b/>
        </w:rPr>
        <w:t xml:space="preserve">Point d’attention : </w:t>
      </w:r>
      <w:r>
        <w:t>Kubernetes n’est pas “secure by design” par défaut. Une approche proactive est nécessaire.</w:t>
      </w:r>
    </w:p>
    <w:p w14:paraId="0988034A" w14:textId="77777777" w:rsidR="00AB6830" w:rsidRDefault="00000000">
      <w:r>
        <w:rPr>
          <w:b/>
        </w:rPr>
        <w:t>Axes mis en avant :</w:t>
      </w:r>
    </w:p>
    <w:p w14:paraId="41F2EB19" w14:textId="77777777" w:rsidR="00AB6830" w:rsidRDefault="00000000">
      <w:pPr>
        <w:pStyle w:val="Listepuces"/>
      </w:pPr>
      <w:r>
        <w:t>Définir une configuration de référence (“golden baseline”) et vérifier en continu les écarts.</w:t>
      </w:r>
    </w:p>
    <w:p w14:paraId="1F320749" w14:textId="77777777" w:rsidR="00AB6830" w:rsidRDefault="00000000">
      <w:pPr>
        <w:pStyle w:val="Listepuces"/>
      </w:pPr>
      <w:r>
        <w:t>Politique de changement stricte et policies “enforceables” (détecter et empêcher les dérives).</w:t>
      </w:r>
    </w:p>
    <w:p w14:paraId="5D4E2FE5" w14:textId="77777777" w:rsidR="00AB6830" w:rsidRDefault="00000000">
      <w:pPr>
        <w:pStyle w:val="Listepuces"/>
      </w:pPr>
      <w:r>
        <w:t>S’appuyer sur IAM / gestion d’identités, certificats, et RBAC.</w:t>
      </w:r>
    </w:p>
    <w:p w14:paraId="1B903CC2" w14:textId="77777777" w:rsidR="00AB6830" w:rsidRDefault="00000000">
      <w:pPr>
        <w:pStyle w:val="Listepuces"/>
      </w:pPr>
      <w:r>
        <w:t>Capacités de détection/alerte : CVEs, drift, versioning, critères d’audit.</w:t>
      </w:r>
    </w:p>
    <w:p w14:paraId="0777ACC8" w14:textId="77777777" w:rsidR="00AB6830" w:rsidRDefault="00000000">
      <w:pPr>
        <w:pStyle w:val="Listepuces"/>
      </w:pPr>
      <w:r>
        <w:t>Alignement sur des cadres de conformité (exemples cités : NIST, PCI-DSS, HIPAA).</w:t>
      </w:r>
    </w:p>
    <w:p w14:paraId="152C2104" w14:textId="77777777" w:rsidR="00AB6830" w:rsidRDefault="00000000">
      <w:pPr>
        <w:pStyle w:val="Titre2"/>
      </w:pPr>
      <w:r>
        <w:t>1.5. Disponibilité (SRE/ops)</w:t>
      </w:r>
    </w:p>
    <w:p w14:paraId="58FB5E4F" w14:textId="77777777" w:rsidR="00AB6830" w:rsidRDefault="00000000">
      <w:r>
        <w:t>L’ouvrage insiste sur la disponibilité applicative comme enjeu business : un cluster mal orchestré crée rapidement des “single points of failure” cachés.</w:t>
      </w:r>
    </w:p>
    <w:p w14:paraId="3E5DDDF5" w14:textId="77777777" w:rsidR="00AB6830" w:rsidRDefault="00000000">
      <w:r>
        <w:rPr>
          <w:b/>
        </w:rPr>
        <w:t>Questions opérationnelles à traiter :</w:t>
      </w:r>
    </w:p>
    <w:p w14:paraId="3218D101" w14:textId="77777777" w:rsidR="00AB6830" w:rsidRDefault="00000000">
      <w:pPr>
        <w:pStyle w:val="Listepuces"/>
      </w:pPr>
      <w:r>
        <w:t>Comment maximiser l’uptime applicatif ?</w:t>
      </w:r>
    </w:p>
    <w:p w14:paraId="7D16D466" w14:textId="77777777" w:rsidR="00AB6830" w:rsidRDefault="00000000">
      <w:pPr>
        <w:pStyle w:val="Listepuces"/>
      </w:pPr>
      <w:r>
        <w:t>Comment remonter rapidement à la cause racine (root cause) d’un incident ?</w:t>
      </w:r>
    </w:p>
    <w:p w14:paraId="6FDF405E" w14:textId="77777777" w:rsidR="00AB6830" w:rsidRDefault="00000000">
      <w:pPr>
        <w:pStyle w:val="Listepuces"/>
      </w:pPr>
      <w:r>
        <w:t>Comment comprendre la santé du cluster et l’impact sur les applications ?</w:t>
      </w:r>
    </w:p>
    <w:p w14:paraId="62B544F7" w14:textId="77777777" w:rsidR="00AB6830" w:rsidRDefault="00000000">
      <w:pPr>
        <w:pStyle w:val="Listepuces"/>
      </w:pPr>
      <w:r>
        <w:t>Comment dimensionner la capacité tout en maîtrisant les coûts ?</w:t>
      </w:r>
    </w:p>
    <w:p w14:paraId="5F23AA72" w14:textId="77777777" w:rsidR="00AB6830" w:rsidRDefault="00000000">
      <w:pPr>
        <w:pStyle w:val="Listepuces"/>
      </w:pPr>
      <w:r>
        <w:t>Comment réduire l’impact d’un sinistre (disaster recovery) ?</w:t>
      </w:r>
    </w:p>
    <w:p w14:paraId="764EB4C6" w14:textId="77777777" w:rsidR="00AB6830" w:rsidRDefault="00000000">
      <w:r>
        <w:br w:type="page"/>
      </w:r>
    </w:p>
    <w:p w14:paraId="4479F635" w14:textId="77777777" w:rsidR="00AB6830" w:rsidRDefault="00000000">
      <w:pPr>
        <w:pStyle w:val="Titre1"/>
      </w:pPr>
      <w:r>
        <w:lastRenderedPageBreak/>
        <w:t>2. Chapitre 4 — 5 critères pour choisir une solution de gestion de clusters</w:t>
      </w:r>
    </w:p>
    <w:p w14:paraId="15E726D9" w14:textId="77777777" w:rsidR="00AB6830" w:rsidRDefault="00000000">
      <w:pPr>
        <w:pStyle w:val="Titre2"/>
      </w:pPr>
      <w:r>
        <w:t>2.1. Centralized Management (single pane of glass)</w:t>
      </w:r>
    </w:p>
    <w:p w14:paraId="5FCA1345" w14:textId="77777777" w:rsidR="00AB6830" w:rsidRDefault="00000000">
      <w:pPr>
        <w:pStyle w:val="Listepuces"/>
      </w:pPr>
      <w:r>
        <w:t>Vue unifiée de l’environnement : on-prem, privé, public cloud, et des couches (OS, virtualisation, conteneurs, orchestration).</w:t>
      </w:r>
    </w:p>
    <w:p w14:paraId="66521FFF" w14:textId="77777777" w:rsidR="00AB6830" w:rsidRDefault="00000000">
      <w:pPr>
        <w:pStyle w:val="Listepuces"/>
      </w:pPr>
      <w:r>
        <w:t>Limiter la complexité : éviter les plateformes “patchwork” avec des modules mal intégrés.</w:t>
      </w:r>
    </w:p>
    <w:p w14:paraId="77A262FC" w14:textId="77777777" w:rsidR="00AB6830" w:rsidRDefault="00000000">
      <w:pPr>
        <w:pStyle w:val="Titre2"/>
      </w:pPr>
      <w:r>
        <w:t>2.2. End-to-End Cluster Management (gestion de bout en bout)</w:t>
      </w:r>
    </w:p>
    <w:p w14:paraId="2BBC4639" w14:textId="77777777" w:rsidR="00AB6830" w:rsidRDefault="00000000">
      <w:pPr>
        <w:pStyle w:val="Listepuces"/>
      </w:pPr>
      <w:r>
        <w:t>Gestion fiable et cohérente à l’échelle.</w:t>
      </w:r>
    </w:p>
    <w:p w14:paraId="70DEC91A" w14:textId="77777777" w:rsidR="00AB6830" w:rsidRDefault="00000000">
      <w:pPr>
        <w:pStyle w:val="Listepuces"/>
      </w:pPr>
      <w:r>
        <w:t>Support et encouragement des bonnes pratiques Infrastructure as Code (IaC).</w:t>
      </w:r>
    </w:p>
    <w:p w14:paraId="2DD5E6D4" w14:textId="77777777" w:rsidR="00AB6830" w:rsidRDefault="00000000">
      <w:pPr>
        <w:pStyle w:val="Listepuces"/>
      </w:pPr>
      <w:r>
        <w:t>Gestion multi-datacenters et multi-cloud.</w:t>
      </w:r>
    </w:p>
    <w:p w14:paraId="02051A94" w14:textId="77777777" w:rsidR="00AB6830" w:rsidRDefault="00000000">
      <w:pPr>
        <w:pStyle w:val="Listepuces"/>
      </w:pPr>
      <w:r>
        <w:t>Surveillance de la santé (clusters/pods) + visibilité/alerting transverses.</w:t>
      </w:r>
    </w:p>
    <w:p w14:paraId="18D93ECA" w14:textId="77777777" w:rsidR="00AB6830" w:rsidRDefault="00000000">
      <w:pPr>
        <w:pStyle w:val="Titre2"/>
      </w:pPr>
      <w:r>
        <w:t>2.3. Security &amp; Compliance at scale (policies, RBAC, audit)</w:t>
      </w:r>
    </w:p>
    <w:p w14:paraId="614A8680" w14:textId="77777777" w:rsidR="00AB6830" w:rsidRDefault="00000000">
      <w:pPr>
        <w:pStyle w:val="Listepuces"/>
      </w:pPr>
      <w:r>
        <w:t>Définition et enforcement de policies (cluster-level) pour prévenir dérives accidentelles ou malveillantes.</w:t>
      </w:r>
    </w:p>
    <w:p w14:paraId="0316D969" w14:textId="77777777" w:rsidR="00AB6830" w:rsidRDefault="00000000">
      <w:pPr>
        <w:pStyle w:val="Listepuces"/>
      </w:pPr>
      <w:r>
        <w:t>RBAC et contrôle d’accès cohérents.</w:t>
      </w:r>
    </w:p>
    <w:p w14:paraId="1E9F3CC1" w14:textId="77777777" w:rsidR="00AB6830" w:rsidRDefault="00000000">
      <w:pPr>
        <w:pStyle w:val="Listepuces"/>
      </w:pPr>
      <w:r>
        <w:t>Monitoring de baseline + audit de conformité intégré.</w:t>
      </w:r>
    </w:p>
    <w:p w14:paraId="5DEA8703" w14:textId="77777777" w:rsidR="00AB6830" w:rsidRDefault="00000000">
      <w:pPr>
        <w:pStyle w:val="Listepuces"/>
      </w:pPr>
      <w:r>
        <w:t>Collecte de preuves (evidence) pour audits ; partage/réutilisation de policies (open source / communauté).</w:t>
      </w:r>
    </w:p>
    <w:p w14:paraId="094A7933" w14:textId="77777777" w:rsidR="00AB6830" w:rsidRDefault="00000000">
      <w:pPr>
        <w:pStyle w:val="Titre2"/>
      </w:pPr>
      <w:r>
        <w:t>2.4. Central life cycle management of containerized applications</w:t>
      </w:r>
    </w:p>
    <w:p w14:paraId="09185DB7" w14:textId="77777777" w:rsidR="00AB6830" w:rsidRDefault="00000000">
      <w:pPr>
        <w:pStyle w:val="Listepuces"/>
      </w:pPr>
      <w:r>
        <w:t>Déployer des workloads de façon contrôlée et automatisée sur tous les clusters.</w:t>
      </w:r>
    </w:p>
    <w:p w14:paraId="06CFF433" w14:textId="77777777" w:rsidR="00AB6830" w:rsidRDefault="00000000">
      <w:pPr>
        <w:pStyle w:val="Listepuces"/>
      </w:pPr>
      <w:r>
        <w:t>Gérer les opérations “Day-2” (mises à jour, patchs, config, exploitation) pour des applications distribuées.</w:t>
      </w:r>
    </w:p>
    <w:p w14:paraId="72D7FD46" w14:textId="77777777" w:rsidR="00AB6830" w:rsidRDefault="00000000">
      <w:pPr>
        <w:pStyle w:val="Listepuces"/>
      </w:pPr>
      <w:r>
        <w:t>S’intégrer aux pipelines et référentiels (GitOps / CI/CD) pour réduire le manuel et standardiser.</w:t>
      </w:r>
    </w:p>
    <w:p w14:paraId="631C61D6" w14:textId="77777777" w:rsidR="00AB6830" w:rsidRDefault="00000000">
      <w:pPr>
        <w:pStyle w:val="Titre2"/>
      </w:pPr>
      <w:r>
        <w:t>2.5. Accelerating time to results (fédérer dev/infra/ops)</w:t>
      </w:r>
    </w:p>
    <w:p w14:paraId="52E22EE0" w14:textId="77777777" w:rsidR="00AB6830" w:rsidRDefault="00000000">
      <w:pPr>
        <w:pStyle w:val="Listepuces"/>
      </w:pPr>
      <w:r>
        <w:t>Dashboards et outils intégrés pour casser les silos et accélérer le delivery.</w:t>
      </w:r>
    </w:p>
    <w:p w14:paraId="4A2D22F0" w14:textId="77777777" w:rsidR="00AB6830" w:rsidRDefault="00000000">
      <w:pPr>
        <w:pStyle w:val="Listepuces"/>
      </w:pPr>
      <w:r>
        <w:t>Visibilité partagée et workflows communs : incident, change, conformité, déploiement.</w:t>
      </w:r>
    </w:p>
    <w:p w14:paraId="40A229AE" w14:textId="77777777" w:rsidR="00AB6830" w:rsidRDefault="00000000">
      <w:pPr>
        <w:pStyle w:val="Titre1"/>
      </w:pPr>
      <w:r>
        <w:t>3. Application directe — Checklist pour structurer ton lab / runbook</w:t>
      </w:r>
    </w:p>
    <w:p w14:paraId="2825BF8B" w14:textId="77777777" w:rsidR="00AB6830" w:rsidRDefault="00000000">
      <w:r>
        <w:t>Objectif : transformer les principes des chapitres 2 et 4 en éléments vérifiables (Definition of Done).</w:t>
      </w:r>
    </w:p>
    <w:p w14:paraId="4B320E56" w14:textId="77777777" w:rsidR="00AB6830" w:rsidRDefault="00000000">
      <w:pPr>
        <w:pStyle w:val="Titre2"/>
      </w:pPr>
      <w:r>
        <w:t>3.1. Baseline &amp; drift</w:t>
      </w:r>
    </w:p>
    <w:p w14:paraId="5A5CE716" w14:textId="77777777" w:rsidR="00AB6830" w:rsidRDefault="00000000">
      <w:pPr>
        <w:pStyle w:val="Listepuces"/>
      </w:pPr>
      <w:r>
        <w:t>Définir une baseline (version K8s, configuration réseau, RBAC, namespaces, quotas).</w:t>
      </w:r>
    </w:p>
    <w:p w14:paraId="391A1BC6" w14:textId="77777777" w:rsidR="00AB6830" w:rsidRDefault="00000000">
      <w:pPr>
        <w:pStyle w:val="Listepuces"/>
      </w:pPr>
      <w:r>
        <w:t>Stocker la configuration “source of truth” dans Git (IaC/GitOps).</w:t>
      </w:r>
    </w:p>
    <w:p w14:paraId="39A83A2B" w14:textId="77777777" w:rsidR="00AB6830" w:rsidRDefault="00000000">
      <w:pPr>
        <w:pStyle w:val="Listepuces"/>
      </w:pPr>
      <w:r>
        <w:t>Mettre en place un contrôle périodique des écarts + remédiation (automatique si possible).</w:t>
      </w:r>
    </w:p>
    <w:p w14:paraId="05CC6927" w14:textId="77777777" w:rsidR="00AB6830" w:rsidRDefault="00000000">
      <w:pPr>
        <w:pStyle w:val="Titre2"/>
      </w:pPr>
      <w:r>
        <w:t>3.2. Sécurité &amp; conformité</w:t>
      </w:r>
    </w:p>
    <w:p w14:paraId="0DEAB55E" w14:textId="77777777" w:rsidR="00AB6830" w:rsidRDefault="00000000">
      <w:pPr>
        <w:pStyle w:val="Listepuces"/>
      </w:pPr>
      <w:r>
        <w:t>RBAC minimal (principe du moindre privilège) + comptes de service dédiés.</w:t>
      </w:r>
    </w:p>
    <w:p w14:paraId="003C9378" w14:textId="77777777" w:rsidR="00AB6830" w:rsidRDefault="00000000">
      <w:pPr>
        <w:pStyle w:val="Listepuces"/>
      </w:pPr>
      <w:r>
        <w:t>Politiques : interdictions claires (privileged pods, images non signées/registry non autorisé, etc.).</w:t>
      </w:r>
    </w:p>
    <w:p w14:paraId="2EF21E8A" w14:textId="77777777" w:rsidR="00AB6830" w:rsidRDefault="00000000">
      <w:pPr>
        <w:pStyle w:val="Listepuces"/>
      </w:pPr>
      <w:r>
        <w:t>Journalisation/audit : pouvoir répondre “qui a fait quoi, quand ?”.</w:t>
      </w:r>
    </w:p>
    <w:p w14:paraId="198A539A" w14:textId="77777777" w:rsidR="00AB6830" w:rsidRDefault="00000000">
      <w:pPr>
        <w:pStyle w:val="Listepuces"/>
      </w:pPr>
      <w:r>
        <w:t>Gestion certificats/identité et rotation (au minimum documentée).</w:t>
      </w:r>
    </w:p>
    <w:p w14:paraId="6AB5F709" w14:textId="77777777" w:rsidR="00AB6830" w:rsidRDefault="00000000">
      <w:pPr>
        <w:pStyle w:val="Listepuces"/>
      </w:pPr>
      <w:r>
        <w:lastRenderedPageBreak/>
        <w:t>Veille vulnérabilités : capacité à identifier CVEs impactant images/cluster.</w:t>
      </w:r>
    </w:p>
    <w:p w14:paraId="61D30808" w14:textId="77777777" w:rsidR="00AB6830" w:rsidRDefault="00000000">
      <w:pPr>
        <w:pStyle w:val="Titre2"/>
      </w:pPr>
      <w:r>
        <w:t>3.3. Disponibilité &amp; observabilité</w:t>
      </w:r>
    </w:p>
    <w:p w14:paraId="77E80D18" w14:textId="77777777" w:rsidR="00AB6830" w:rsidRDefault="00000000">
      <w:pPr>
        <w:pStyle w:val="Listepuces"/>
      </w:pPr>
      <w:r>
        <w:t>Définir des indicateurs simples (santé cluster, saturation CPU/RAM, erreurs applicatives).</w:t>
      </w:r>
    </w:p>
    <w:p w14:paraId="1C4B4B08" w14:textId="77777777" w:rsidR="00AB6830" w:rsidRDefault="00000000">
      <w:pPr>
        <w:pStyle w:val="Listepuces"/>
      </w:pPr>
      <w:r>
        <w:t>Mettre en place alerting basique (seuils) + procédure d’investigation (root cause).</w:t>
      </w:r>
    </w:p>
    <w:p w14:paraId="0F8A2862" w14:textId="77777777" w:rsidR="00AB6830" w:rsidRDefault="00000000">
      <w:pPr>
        <w:pStyle w:val="Listepuces"/>
      </w:pPr>
      <w:r>
        <w:t>Prévoir un scénario “incident” + restauration (backup/restore) au moins documenté et testé.</w:t>
      </w:r>
    </w:p>
    <w:p w14:paraId="423BED1A" w14:textId="77777777" w:rsidR="00AB6830" w:rsidRDefault="00000000">
      <w:pPr>
        <w:pStyle w:val="Titre2"/>
      </w:pPr>
      <w:r>
        <w:t>3.4. Multi-cluster (même en lab)</w:t>
      </w:r>
    </w:p>
    <w:p w14:paraId="1003CC73" w14:textId="77777777" w:rsidR="00AB6830" w:rsidRDefault="00000000">
      <w:pPr>
        <w:pStyle w:val="Listepuces"/>
      </w:pPr>
      <w:r>
        <w:t>Créer au moins 2 clusters (même légers) pour tester la réalité multi-cluster : déploiement uniforme, policies, visibilité.</w:t>
      </w:r>
    </w:p>
    <w:p w14:paraId="7CC70E9F" w14:textId="77777777" w:rsidR="00AB6830" w:rsidRDefault="00000000">
      <w:pPr>
        <w:pStyle w:val="Listepuces"/>
      </w:pPr>
      <w:r>
        <w:t>Documenter la stratégie de gestion : inventaire, versioning, cycle de vie (création, mise à jour, décommission).</w:t>
      </w:r>
    </w:p>
    <w:p w14:paraId="7B88E876" w14:textId="77777777" w:rsidR="00AB6830" w:rsidRDefault="00000000">
      <w:pPr>
        <w:pStyle w:val="Listepuces"/>
      </w:pPr>
      <w:r>
        <w:t>Tester un déploiement applicatif “à l’échelle” (même appli sur 2 clusters) et vérifier cohérence.</w:t>
      </w:r>
    </w:p>
    <w:p w14:paraId="4E4AFD10" w14:textId="77777777" w:rsidR="00AB6830" w:rsidRDefault="00000000">
      <w:pPr>
        <w:pStyle w:val="Titre1"/>
      </w:pPr>
      <w:r>
        <w:t>4. Glossaire rapide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863"/>
        <w:gridCol w:w="4863"/>
      </w:tblGrid>
      <w:tr w:rsidR="00AB6830" w14:paraId="609F9910" w14:textId="77777777" w:rsidTr="00AB6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DDB34F1" w14:textId="77777777" w:rsidR="00AB6830" w:rsidRDefault="00000000">
            <w:r>
              <w:t>Terme</w:t>
            </w:r>
          </w:p>
        </w:tc>
        <w:tc>
          <w:tcPr>
            <w:tcW w:w="4873" w:type="dxa"/>
          </w:tcPr>
          <w:p w14:paraId="4D8ACB21" w14:textId="77777777" w:rsidR="00AB68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Définition</w:t>
            </w:r>
          </w:p>
        </w:tc>
      </w:tr>
      <w:tr w:rsidR="00AB6830" w14:paraId="2D201845" w14:textId="77777777" w:rsidTr="00AB6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5BFE01D" w14:textId="77777777" w:rsidR="00AB6830" w:rsidRDefault="00000000">
            <w:r>
              <w:t>Configuration drift</w:t>
            </w:r>
          </w:p>
        </w:tc>
        <w:tc>
          <w:tcPr>
            <w:tcW w:w="4873" w:type="dxa"/>
          </w:tcPr>
          <w:p w14:paraId="0D05A88E" w14:textId="77777777" w:rsidR="00AB6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Écart entre l’état voulu (déclaré) et l’état réel du cluster.</w:t>
            </w:r>
          </w:p>
        </w:tc>
      </w:tr>
      <w:tr w:rsidR="00AB6830" w14:paraId="25BE744C" w14:textId="77777777" w:rsidTr="00AB6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4FC9E3" w14:textId="77777777" w:rsidR="00AB6830" w:rsidRDefault="00000000">
            <w:r>
              <w:t>Baseline / Golden configuration</w:t>
            </w:r>
          </w:p>
        </w:tc>
        <w:tc>
          <w:tcPr>
            <w:tcW w:w="4873" w:type="dxa"/>
          </w:tcPr>
          <w:p w14:paraId="6700D37E" w14:textId="77777777" w:rsidR="00AB6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de référence validée et reproductible.</w:t>
            </w:r>
          </w:p>
        </w:tc>
      </w:tr>
      <w:tr w:rsidR="00AB6830" w14:paraId="7DB0C084" w14:textId="77777777" w:rsidTr="00AB6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6805430" w14:textId="77777777" w:rsidR="00AB6830" w:rsidRDefault="00000000">
            <w:r>
              <w:t>RBAC</w:t>
            </w:r>
          </w:p>
        </w:tc>
        <w:tc>
          <w:tcPr>
            <w:tcW w:w="4873" w:type="dxa"/>
          </w:tcPr>
          <w:p w14:paraId="542A8157" w14:textId="77777777" w:rsidR="00AB6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Access Control : droits attribués par rôles (Kubernetes).</w:t>
            </w:r>
          </w:p>
        </w:tc>
      </w:tr>
      <w:tr w:rsidR="00AB6830" w14:paraId="5A3F3DE6" w14:textId="77777777" w:rsidTr="00AB6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0D686F6" w14:textId="77777777" w:rsidR="00AB6830" w:rsidRDefault="00000000">
            <w:r>
              <w:t>SSO</w:t>
            </w:r>
          </w:p>
        </w:tc>
        <w:tc>
          <w:tcPr>
            <w:tcW w:w="4873" w:type="dxa"/>
          </w:tcPr>
          <w:p w14:paraId="41043A59" w14:textId="77777777" w:rsidR="00AB6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Sign-On : authentification unique pour accéder à plusieurs services.</w:t>
            </w:r>
          </w:p>
        </w:tc>
      </w:tr>
      <w:tr w:rsidR="00AB6830" w14:paraId="4B77542C" w14:textId="77777777" w:rsidTr="00AB6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736967E" w14:textId="77777777" w:rsidR="00AB6830" w:rsidRDefault="00000000">
            <w:r>
              <w:t>Day-2 operations</w:t>
            </w:r>
          </w:p>
        </w:tc>
        <w:tc>
          <w:tcPr>
            <w:tcW w:w="4873" w:type="dxa"/>
          </w:tcPr>
          <w:p w14:paraId="143835DE" w14:textId="77777777" w:rsidR="00AB6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Exploitation après mise en service : patching, upgrades, scaling, incident, compliance.</w:t>
            </w:r>
          </w:p>
        </w:tc>
      </w:tr>
    </w:tbl>
    <w:p w14:paraId="3BE5039C" w14:textId="77777777" w:rsidR="00DE518A" w:rsidRDefault="00DE518A"/>
    <w:sectPr w:rsidR="00DE518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053779">
    <w:abstractNumId w:val="8"/>
  </w:num>
  <w:num w:numId="2" w16cid:durableId="1935044503">
    <w:abstractNumId w:val="6"/>
  </w:num>
  <w:num w:numId="3" w16cid:durableId="1519155361">
    <w:abstractNumId w:val="5"/>
  </w:num>
  <w:num w:numId="4" w16cid:durableId="1129399590">
    <w:abstractNumId w:val="4"/>
  </w:num>
  <w:num w:numId="5" w16cid:durableId="1155414998">
    <w:abstractNumId w:val="7"/>
  </w:num>
  <w:num w:numId="6" w16cid:durableId="98837490">
    <w:abstractNumId w:val="3"/>
  </w:num>
  <w:num w:numId="7" w16cid:durableId="1584097461">
    <w:abstractNumId w:val="2"/>
  </w:num>
  <w:num w:numId="8" w16cid:durableId="704450927">
    <w:abstractNumId w:val="1"/>
  </w:num>
  <w:num w:numId="9" w16cid:durableId="98018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1B03"/>
    <w:rsid w:val="00AA1D8D"/>
    <w:rsid w:val="00AB6830"/>
    <w:rsid w:val="00B47730"/>
    <w:rsid w:val="00CB0664"/>
    <w:rsid w:val="00DE518A"/>
    <w:rsid w:val="00EE4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3B0DB"/>
  <w14:defaultImageDpi w14:val="300"/>
  <w15:docId w15:val="{8E5A30D0-425C-4BC4-988E-E6922452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1085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2026-01-21T15:13:00Z</dcterms:created>
  <dcterms:modified xsi:type="dcterms:W3CDTF">2026-01-21T15:13:00Z</dcterms:modified>
  <cp:category/>
</cp:coreProperties>
</file>