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3020" w14:textId="77777777" w:rsidR="001031BD" w:rsidRDefault="00000000">
      <w:pPr>
        <w:pStyle w:val="Titre"/>
        <w:jc w:val="center"/>
      </w:pPr>
      <w:r>
        <w:t>Note pédagogique — ADR (Architecture Decision Record)</w:t>
      </w:r>
    </w:p>
    <w:p w14:paraId="6782F458" w14:textId="77777777" w:rsidR="001031BD" w:rsidRDefault="00000000">
      <w:pPr>
        <w:pStyle w:val="Titre1"/>
      </w:pPr>
      <w:r>
        <w:t>Définition</w:t>
      </w:r>
    </w:p>
    <w:p w14:paraId="25E4C111" w14:textId="77777777" w:rsidR="001031BD" w:rsidRDefault="00000000">
      <w:r>
        <w:t>Un ADR est une courte note versionnée (dans Git) qui documente une décision technique importante : le contexte, le choix retenu, les alternatives étudiées et les conséquences.</w:t>
      </w:r>
    </w:p>
    <w:p w14:paraId="53CF6EA2" w14:textId="77777777" w:rsidR="001031BD" w:rsidRDefault="00000000">
      <w:pPr>
        <w:pStyle w:val="Titre1"/>
      </w:pPr>
      <w:r>
        <w:t>Pourquoi en faire ?</w:t>
      </w:r>
    </w:p>
    <w:p w14:paraId="57D4254D" w14:textId="77777777" w:rsidR="001031BD" w:rsidRDefault="00000000">
      <w:pPr>
        <w:pStyle w:val="Listepuces"/>
      </w:pPr>
      <w:r>
        <w:t>Garder une trace claire du « pourquoi » (pas seulement du « quoi »).</w:t>
      </w:r>
    </w:p>
    <w:p w14:paraId="00A7DCC2" w14:textId="77777777" w:rsidR="001031BD" w:rsidRDefault="00000000">
      <w:pPr>
        <w:pStyle w:val="Listepuces"/>
      </w:pPr>
      <w:r>
        <w:t>Faciliter la revue (PR), l’audit et l’onboarding.</w:t>
      </w:r>
    </w:p>
    <w:p w14:paraId="42CCB387" w14:textId="77777777" w:rsidR="001031BD" w:rsidRDefault="00000000">
      <w:pPr>
        <w:pStyle w:val="Listepuces"/>
      </w:pPr>
      <w:r>
        <w:t>Assumer les compromis (simplicité, sécurité, coût, délai, maintenance).</w:t>
      </w:r>
    </w:p>
    <w:p w14:paraId="42100C99" w14:textId="77777777" w:rsidR="001031BD" w:rsidRDefault="00000000">
      <w:pPr>
        <w:pStyle w:val="Titre1"/>
      </w:pPr>
      <w:r>
        <w:t>Quand écrire un ADR ?</w:t>
      </w:r>
    </w:p>
    <w:p w14:paraId="7CC0249E" w14:textId="77777777" w:rsidR="001031BD" w:rsidRDefault="00000000">
      <w:pPr>
        <w:pStyle w:val="Listepuces"/>
      </w:pPr>
      <w:r>
        <w:t>Décision structurante et difficile à changer (réseau, OS, stockage, auth…).</w:t>
      </w:r>
    </w:p>
    <w:p w14:paraId="7249B5D6" w14:textId="77777777" w:rsidR="001031BD" w:rsidRDefault="00000000">
      <w:pPr>
        <w:pStyle w:val="Listepuces"/>
      </w:pPr>
      <w:r>
        <w:t>Plusieurs options plausibles : besoin d’un arbitrage justifié.</w:t>
      </w:r>
    </w:p>
    <w:p w14:paraId="10D1B713" w14:textId="77777777" w:rsidR="001031BD" w:rsidRDefault="00000000">
      <w:pPr>
        <w:pStyle w:val="Listepuces"/>
      </w:pPr>
      <w:r>
        <w:t>Impact sécurité/exploitation/maintenabilité significatif.</w:t>
      </w:r>
    </w:p>
    <w:p w14:paraId="58690FC5" w14:textId="77777777" w:rsidR="001031BD" w:rsidRDefault="00000000">
      <w:pPr>
        <w:pStyle w:val="Titre1"/>
      </w:pPr>
      <w:r>
        <w:t>Structure type (viser 1 page)</w:t>
      </w:r>
    </w:p>
    <w:p w14:paraId="518ED76D" w14:textId="77777777" w:rsidR="001031BD" w:rsidRDefault="00000000">
      <w:pPr>
        <w:pStyle w:val="Listenumros"/>
      </w:pPr>
      <w:r>
        <w:t>Métadonnées : ID, titre, statut (Proposed/Accepted/Superseded…), date, décideurs</w:t>
      </w:r>
    </w:p>
    <w:p w14:paraId="6FEB48C9" w14:textId="77777777" w:rsidR="001031BD" w:rsidRDefault="00000000">
      <w:pPr>
        <w:pStyle w:val="Listenumros"/>
      </w:pPr>
      <w:r>
        <w:t>Contexte : besoin, contraintes, hypothèses</w:t>
      </w:r>
    </w:p>
    <w:p w14:paraId="30543F35" w14:textId="77777777" w:rsidR="001031BD" w:rsidRDefault="00000000">
      <w:pPr>
        <w:pStyle w:val="Listenumros"/>
      </w:pPr>
      <w:r>
        <w:t>Décision : ce qui est choisi (clair, testable)</w:t>
      </w:r>
    </w:p>
    <w:p w14:paraId="2B099538" w14:textId="77777777" w:rsidR="001031BD" w:rsidRDefault="00000000">
      <w:pPr>
        <w:pStyle w:val="Listenumros"/>
      </w:pPr>
      <w:r>
        <w:t>Options : 2 à 4 options + avantages/inconvénients</w:t>
      </w:r>
    </w:p>
    <w:p w14:paraId="29AE4B54" w14:textId="77777777" w:rsidR="001031BD" w:rsidRDefault="00000000">
      <w:pPr>
        <w:pStyle w:val="Listenumros"/>
      </w:pPr>
      <w:r>
        <w:t>Conséquences : impacts, risques, mitigations et actions de suivi</w:t>
      </w:r>
    </w:p>
    <w:p w14:paraId="1E8CA205" w14:textId="77777777" w:rsidR="001031BD" w:rsidRDefault="00000000">
      <w:pPr>
        <w:pStyle w:val="Titre1"/>
      </w:pPr>
      <w:r>
        <w:t>Bonnes pratiques dans un repo</w:t>
      </w:r>
    </w:p>
    <w:p w14:paraId="14305EC1" w14:textId="77777777" w:rsidR="001031BD" w:rsidRDefault="00000000">
      <w:pPr>
        <w:pStyle w:val="Listepuces"/>
      </w:pPr>
      <w:r>
        <w:t>Dossier dédié (ex : docs/adr/) + template 0000-template.md.</w:t>
      </w:r>
    </w:p>
    <w:p w14:paraId="1EAFC9CA" w14:textId="77777777" w:rsidR="001031BD" w:rsidRDefault="00000000">
      <w:pPr>
        <w:pStyle w:val="Listepuces"/>
      </w:pPr>
      <w:r>
        <w:t>Nommage : NNNN-titre-court.md (ex : 0001-virtualbox-networking.md).</w:t>
      </w:r>
    </w:p>
    <w:p w14:paraId="58DCFC49" w14:textId="77777777" w:rsidR="001031BD" w:rsidRDefault="00000000">
      <w:pPr>
        <w:pStyle w:val="Listepuces"/>
      </w:pPr>
      <w:r>
        <w:t>Si la décision change : nouvel ADR qui remplace l’ancien (ne pas réécrire l’historique).</w:t>
      </w:r>
    </w:p>
    <w:p w14:paraId="30C75550" w14:textId="77777777" w:rsidR="001031BD" w:rsidRDefault="00000000">
      <w:pPr>
        <w:pStyle w:val="Listepuces"/>
      </w:pPr>
      <w:r>
        <w:t>Index README : table ID, titre, statut, date.</w:t>
      </w:r>
    </w:p>
    <w:p w14:paraId="6A209AE7" w14:textId="77777777" w:rsidR="001031BD" w:rsidRDefault="00000000">
      <w:r>
        <w:rPr>
          <w:i/>
        </w:rPr>
        <w:t>Règle d’or : un ADR doit rester court et actionnable. S’il devient long, faire une doc séparée et ne garder ici que la décision.</w:t>
      </w:r>
    </w:p>
    <w:sectPr w:rsidR="001031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614673">
    <w:abstractNumId w:val="8"/>
  </w:num>
  <w:num w:numId="2" w16cid:durableId="938179243">
    <w:abstractNumId w:val="6"/>
  </w:num>
  <w:num w:numId="3" w16cid:durableId="1223326958">
    <w:abstractNumId w:val="5"/>
  </w:num>
  <w:num w:numId="4" w16cid:durableId="1644121278">
    <w:abstractNumId w:val="4"/>
  </w:num>
  <w:num w:numId="5" w16cid:durableId="1010841201">
    <w:abstractNumId w:val="7"/>
  </w:num>
  <w:num w:numId="6" w16cid:durableId="2006276774">
    <w:abstractNumId w:val="3"/>
  </w:num>
  <w:num w:numId="7" w16cid:durableId="248079538">
    <w:abstractNumId w:val="2"/>
  </w:num>
  <w:num w:numId="8" w16cid:durableId="1076321793">
    <w:abstractNumId w:val="1"/>
  </w:num>
  <w:num w:numId="9" w16cid:durableId="169253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1BD"/>
    <w:rsid w:val="0015074B"/>
    <w:rsid w:val="00182E72"/>
    <w:rsid w:val="0029639D"/>
    <w:rsid w:val="00326F90"/>
    <w:rsid w:val="00AA1D8D"/>
    <w:rsid w:val="00AA3A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488F3B"/>
  <w14:defaultImageDpi w14:val="300"/>
  <w15:docId w15:val="{BB381E6E-1425-4DF6-B83B-4E0F36E9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eastAsia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2</cp:revision>
  <dcterms:created xsi:type="dcterms:W3CDTF">2026-01-24T17:27:00Z</dcterms:created>
  <dcterms:modified xsi:type="dcterms:W3CDTF">2026-01-24T17:27:00Z</dcterms:modified>
  <cp:category/>
</cp:coreProperties>
</file>