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350"/>
      </w:tblGrid>
      <w:tr w:rsidR="00103B27" w:rsidRPr="00DD6FCA" w14:paraId="23A775D4" w14:textId="77777777" w:rsidTr="00DD6FCA">
        <w:trPr>
          <w:trHeight w:val="296"/>
        </w:trPr>
        <w:tc>
          <w:tcPr>
            <w:tcW w:w="9350" w:type="dxa"/>
          </w:tcPr>
          <w:p w14:paraId="664296FE" w14:textId="77777777" w:rsidR="00103B27" w:rsidRPr="00DD6FCA" w:rsidRDefault="00103B27" w:rsidP="004B5D14">
            <w:pPr>
              <w:rPr>
                <w:rFonts w:ascii="Arial" w:hAnsi="Arial" w:cs="Arial"/>
                <w:sz w:val="21"/>
                <w:szCs w:val="22"/>
              </w:rPr>
            </w:pPr>
            <w:r w:rsidRPr="00DD6FCA">
              <w:rPr>
                <w:rFonts w:ascii="Arial" w:hAnsi="Arial" w:cs="Arial"/>
                <w:sz w:val="21"/>
                <w:szCs w:val="22"/>
              </w:rPr>
              <w:t>Research |  Current Trends |  Use-cases |  Project Cycle  |  Presentation  |  Best Practices</w:t>
            </w:r>
          </w:p>
        </w:tc>
      </w:tr>
      <w:tr w:rsidR="00103B27" w:rsidRPr="00DD6FCA" w14:paraId="7F1B66A2" w14:textId="77777777" w:rsidTr="00DD6FCA">
        <w:tc>
          <w:tcPr>
            <w:tcW w:w="9350" w:type="dxa"/>
          </w:tcPr>
          <w:p w14:paraId="6A5FFA8A" w14:textId="77777777" w:rsidR="00103B27" w:rsidRPr="00DD6FCA" w:rsidRDefault="00103B27" w:rsidP="004B5D14">
            <w:pPr>
              <w:rPr>
                <w:rFonts w:ascii="Arial" w:hAnsi="Arial" w:cs="Arial"/>
                <w:sz w:val="21"/>
                <w:szCs w:val="22"/>
              </w:rPr>
            </w:pPr>
            <w:r w:rsidRPr="00DD6FCA">
              <w:rPr>
                <w:rFonts w:ascii="Arial" w:hAnsi="Arial" w:cs="Arial"/>
                <w:sz w:val="21"/>
                <w:szCs w:val="22"/>
              </w:rPr>
              <w:t>Situation Understanding</w:t>
            </w:r>
          </w:p>
        </w:tc>
      </w:tr>
      <w:tr w:rsidR="00103B27" w:rsidRPr="00DD6FCA" w14:paraId="1DFDEDFA" w14:textId="77777777" w:rsidTr="00DD6FCA">
        <w:tc>
          <w:tcPr>
            <w:tcW w:w="9350" w:type="dxa"/>
          </w:tcPr>
          <w:p w14:paraId="593D4146" w14:textId="1A36E77C" w:rsidR="00103B27" w:rsidRPr="00DD6FCA" w:rsidRDefault="00DD6FCA" w:rsidP="00AA1AD3">
            <w:pPr>
              <w:rPr>
                <w:rFonts w:ascii="Arial" w:hAnsi="Arial" w:cs="Arial"/>
                <w:sz w:val="21"/>
                <w:szCs w:val="22"/>
              </w:rPr>
            </w:pPr>
            <w:r w:rsidRPr="00DD6FCA">
              <w:rPr>
                <w:rFonts w:ascii="Arial" w:hAnsi="Arial" w:cs="Arial"/>
                <w:sz w:val="21"/>
                <w:szCs w:val="22"/>
              </w:rPr>
              <w:t>Data quality</w:t>
            </w:r>
            <w:r w:rsidRPr="00DD6FCA">
              <w:rPr>
                <w:rFonts w:ascii="Arial" w:hAnsi="Arial" w:cs="Arial"/>
                <w:sz w:val="21"/>
                <w:szCs w:val="22"/>
              </w:rPr>
              <w:t xml:space="preserve"> </w:t>
            </w:r>
            <w:r>
              <w:rPr>
                <w:rFonts w:ascii="Arial" w:hAnsi="Arial" w:cs="Arial"/>
                <w:sz w:val="21"/>
                <w:szCs w:val="22"/>
              </w:rPr>
              <w:t xml:space="preserve">| </w:t>
            </w:r>
            <w:r w:rsidR="00103B27" w:rsidRPr="00DD6FCA">
              <w:rPr>
                <w:rFonts w:ascii="Arial" w:hAnsi="Arial" w:cs="Arial"/>
                <w:sz w:val="21"/>
                <w:szCs w:val="22"/>
              </w:rPr>
              <w:t>Acquisition | Data Mining/</w:t>
            </w:r>
            <w:proofErr w:type="spellStart"/>
            <w:r w:rsidR="00103B27" w:rsidRPr="00DD6FCA">
              <w:rPr>
                <w:rFonts w:ascii="Arial" w:hAnsi="Arial" w:cs="Arial"/>
                <w:sz w:val="21"/>
                <w:szCs w:val="22"/>
              </w:rPr>
              <w:t>Sql</w:t>
            </w:r>
            <w:proofErr w:type="spellEnd"/>
            <w:r w:rsidR="00103B27" w:rsidRPr="00DD6FCA">
              <w:rPr>
                <w:rFonts w:ascii="Arial" w:hAnsi="Arial" w:cs="Arial"/>
                <w:sz w:val="21"/>
                <w:szCs w:val="22"/>
              </w:rPr>
              <w:t xml:space="preserve">  |  </w:t>
            </w:r>
            <w:bookmarkStart w:id="0" w:name="_GoBack"/>
            <w:r w:rsidR="00103B27" w:rsidRPr="00DD6FCA">
              <w:rPr>
                <w:rFonts w:ascii="Arial" w:hAnsi="Arial" w:cs="Arial"/>
                <w:sz w:val="21"/>
                <w:szCs w:val="22"/>
              </w:rPr>
              <w:t xml:space="preserve">Profiling/Descriptive </w:t>
            </w:r>
            <w:r w:rsidR="00AA1AD3">
              <w:rPr>
                <w:rFonts w:ascii="Arial" w:hAnsi="Arial" w:cs="Arial"/>
                <w:sz w:val="21"/>
                <w:szCs w:val="22"/>
              </w:rPr>
              <w:t>Statistics</w:t>
            </w:r>
            <w:bookmarkEnd w:id="0"/>
          </w:p>
        </w:tc>
      </w:tr>
      <w:tr w:rsidR="00103B27" w:rsidRPr="00DD6FCA" w14:paraId="4049D309" w14:textId="77777777" w:rsidTr="00DD6FCA">
        <w:tc>
          <w:tcPr>
            <w:tcW w:w="9350" w:type="dxa"/>
          </w:tcPr>
          <w:p w14:paraId="4ECD97EA" w14:textId="55F86DD2" w:rsidR="00103B27" w:rsidRPr="00DD6FCA" w:rsidRDefault="00103B27" w:rsidP="004B5D14">
            <w:pPr>
              <w:rPr>
                <w:rFonts w:ascii="Arial" w:hAnsi="Arial" w:cs="Arial"/>
                <w:sz w:val="21"/>
                <w:szCs w:val="22"/>
              </w:rPr>
            </w:pPr>
            <w:r w:rsidRPr="00DD6FCA">
              <w:rPr>
                <w:rFonts w:ascii="Arial" w:hAnsi="Arial" w:cs="Arial"/>
                <w:sz w:val="21"/>
                <w:szCs w:val="22"/>
              </w:rPr>
              <w:t xml:space="preserve">Cleaning | Transformation </w:t>
            </w:r>
            <w:r w:rsidR="00DD6FCA">
              <w:rPr>
                <w:rFonts w:ascii="Arial" w:hAnsi="Arial" w:cs="Arial"/>
                <w:sz w:val="21"/>
                <w:szCs w:val="22"/>
              </w:rPr>
              <w:t>|</w:t>
            </w:r>
            <w:r w:rsidRPr="00DD6FCA">
              <w:rPr>
                <w:rFonts w:ascii="Arial" w:hAnsi="Arial" w:cs="Arial"/>
                <w:sz w:val="21"/>
                <w:szCs w:val="22"/>
              </w:rPr>
              <w:t xml:space="preserve"> Prelim Exploration/Slice &amp; Dicing | Exploration/Visualization</w:t>
            </w:r>
            <w:r w:rsidR="00DD6FCA">
              <w:rPr>
                <w:rFonts w:ascii="Arial" w:hAnsi="Arial" w:cs="Arial"/>
                <w:sz w:val="21"/>
                <w:szCs w:val="22"/>
              </w:rPr>
              <w:t xml:space="preserve"> |</w:t>
            </w:r>
            <w:r w:rsidRPr="00DD6FCA">
              <w:rPr>
                <w:rFonts w:ascii="Arial" w:hAnsi="Arial" w:cs="Arial"/>
                <w:sz w:val="21"/>
                <w:szCs w:val="22"/>
              </w:rPr>
              <w:t xml:space="preserve"> Big Data</w:t>
            </w:r>
          </w:p>
        </w:tc>
      </w:tr>
      <w:tr w:rsidR="00103B27" w:rsidRPr="00DD6FCA" w14:paraId="7121E602" w14:textId="77777777" w:rsidTr="00DD6FCA">
        <w:tc>
          <w:tcPr>
            <w:tcW w:w="9350" w:type="dxa"/>
          </w:tcPr>
          <w:p w14:paraId="6B31D0BD" w14:textId="4A25FF6D" w:rsidR="00103B27" w:rsidRPr="00DD6FCA" w:rsidRDefault="00103B27" w:rsidP="004B5D14">
            <w:pPr>
              <w:rPr>
                <w:rFonts w:ascii="Arial" w:hAnsi="Arial" w:cs="Arial"/>
                <w:sz w:val="21"/>
                <w:szCs w:val="22"/>
              </w:rPr>
            </w:pPr>
            <w:r w:rsidRPr="00DD6FCA">
              <w:rPr>
                <w:rFonts w:ascii="Arial" w:hAnsi="Arial" w:cs="Arial"/>
                <w:sz w:val="21"/>
                <w:szCs w:val="22"/>
              </w:rPr>
              <w:t>Methods Selection |  Feature Engineering |  Pre-processing</w:t>
            </w:r>
            <w:r w:rsidR="00DD6FCA">
              <w:rPr>
                <w:rFonts w:ascii="Arial" w:hAnsi="Arial" w:cs="Arial"/>
                <w:sz w:val="21"/>
                <w:szCs w:val="22"/>
              </w:rPr>
              <w:t xml:space="preserve"> </w:t>
            </w:r>
            <w:r w:rsidRPr="00DD6FCA">
              <w:rPr>
                <w:rFonts w:ascii="Arial" w:hAnsi="Arial" w:cs="Arial"/>
                <w:sz w:val="21"/>
                <w:szCs w:val="22"/>
              </w:rPr>
              <w:t xml:space="preserve"> </w:t>
            </w:r>
          </w:p>
        </w:tc>
      </w:tr>
      <w:tr w:rsidR="00103B27" w:rsidRPr="00DD6FCA" w14:paraId="596014BF" w14:textId="77777777" w:rsidTr="00DD6FCA">
        <w:tc>
          <w:tcPr>
            <w:tcW w:w="9350" w:type="dxa"/>
          </w:tcPr>
          <w:p w14:paraId="3C81C49A" w14:textId="77777777" w:rsidR="00103B27" w:rsidRPr="00DD6FCA" w:rsidRDefault="00103B27" w:rsidP="00103B27">
            <w:pPr>
              <w:pStyle w:val="ListParagraph"/>
              <w:numPr>
                <w:ilvl w:val="0"/>
                <w:numId w:val="1"/>
              </w:numPr>
              <w:ind w:left="336" w:hanging="270"/>
              <w:rPr>
                <w:rFonts w:ascii="Arial" w:hAnsi="Arial" w:cs="Arial"/>
                <w:sz w:val="21"/>
                <w:szCs w:val="22"/>
                <w:u w:val="single"/>
              </w:rPr>
            </w:pPr>
            <w:r w:rsidRPr="00DD6FCA">
              <w:rPr>
                <w:rFonts w:ascii="Arial" w:hAnsi="Arial" w:cs="Arial"/>
                <w:color w:val="00B050"/>
                <w:sz w:val="21"/>
                <w:szCs w:val="22"/>
                <w:u w:val="single"/>
              </w:rPr>
              <w:t xml:space="preserve">Techniques &amp; methods </w:t>
            </w:r>
            <w:r w:rsidRPr="00DD6FCA">
              <w:rPr>
                <w:rFonts w:ascii="Arial" w:hAnsi="Arial" w:cs="Arial"/>
                <w:sz w:val="21"/>
                <w:szCs w:val="22"/>
              </w:rPr>
              <w:t xml:space="preserve"> | Application Notes</w:t>
            </w:r>
          </w:p>
        </w:tc>
      </w:tr>
      <w:tr w:rsidR="00103B27" w:rsidRPr="00DD6FCA" w14:paraId="295B7FB7" w14:textId="77777777" w:rsidTr="00DD6FCA">
        <w:trPr>
          <w:trHeight w:val="251"/>
        </w:trPr>
        <w:tc>
          <w:tcPr>
            <w:tcW w:w="9350" w:type="dxa"/>
          </w:tcPr>
          <w:p w14:paraId="5608C431" w14:textId="77777777" w:rsidR="00103B27" w:rsidRPr="00DD6FCA" w:rsidRDefault="00103B27" w:rsidP="004B5D14">
            <w:pPr>
              <w:rPr>
                <w:rFonts w:ascii="Arial" w:hAnsi="Arial" w:cs="Arial"/>
                <w:sz w:val="21"/>
                <w:szCs w:val="22"/>
              </w:rPr>
            </w:pPr>
            <w:r w:rsidRPr="00DD6FCA">
              <w:rPr>
                <w:rFonts w:ascii="Arial" w:hAnsi="Arial" w:cs="Arial"/>
                <w:sz w:val="21"/>
                <w:szCs w:val="22"/>
              </w:rPr>
              <w:t>Insight |  Action  |  Results</w:t>
            </w:r>
          </w:p>
        </w:tc>
      </w:tr>
      <w:tr w:rsidR="00103B27" w:rsidRPr="00DD6FCA" w14:paraId="39B56097" w14:textId="77777777" w:rsidTr="00DD6FCA">
        <w:tc>
          <w:tcPr>
            <w:tcW w:w="9350" w:type="dxa"/>
          </w:tcPr>
          <w:p w14:paraId="363F693F" w14:textId="77777777" w:rsidR="00103B27" w:rsidRPr="00DD6FCA" w:rsidRDefault="00103B27" w:rsidP="00103B27">
            <w:pPr>
              <w:pStyle w:val="ListParagraph"/>
              <w:numPr>
                <w:ilvl w:val="0"/>
                <w:numId w:val="1"/>
              </w:numPr>
              <w:ind w:left="336" w:hanging="270"/>
              <w:rPr>
                <w:rFonts w:ascii="Arial" w:hAnsi="Arial" w:cs="Arial"/>
                <w:sz w:val="21"/>
                <w:szCs w:val="22"/>
                <w:u w:val="single"/>
              </w:rPr>
            </w:pPr>
            <w:r w:rsidRPr="00DD6FCA">
              <w:rPr>
                <w:rFonts w:ascii="Arial" w:hAnsi="Arial" w:cs="Arial"/>
                <w:color w:val="00B050"/>
                <w:sz w:val="21"/>
                <w:szCs w:val="22"/>
                <w:u w:val="single"/>
              </w:rPr>
              <w:t xml:space="preserve">Data Architecture &amp; Engineering </w:t>
            </w:r>
            <w:r w:rsidRPr="00DD6FCA">
              <w:rPr>
                <w:rFonts w:ascii="Arial" w:hAnsi="Arial" w:cs="Arial"/>
                <w:sz w:val="21"/>
                <w:szCs w:val="22"/>
              </w:rPr>
              <w:t>|  Databases</w:t>
            </w:r>
          </w:p>
        </w:tc>
      </w:tr>
      <w:tr w:rsidR="00103B27" w:rsidRPr="00DD6FCA" w14:paraId="12FC0A01" w14:textId="77777777" w:rsidTr="00DD6FCA">
        <w:trPr>
          <w:trHeight w:val="251"/>
        </w:trPr>
        <w:tc>
          <w:tcPr>
            <w:tcW w:w="9350" w:type="dxa"/>
          </w:tcPr>
          <w:p w14:paraId="7E475E5D" w14:textId="77777777" w:rsidR="00103B27" w:rsidRPr="00DD6FCA" w:rsidRDefault="00103B27" w:rsidP="004B5D14">
            <w:pPr>
              <w:rPr>
                <w:rFonts w:ascii="Arial" w:hAnsi="Arial" w:cs="Arial"/>
                <w:sz w:val="21"/>
                <w:szCs w:val="22"/>
              </w:rPr>
            </w:pPr>
            <w:r w:rsidRPr="00DD6FCA">
              <w:rPr>
                <w:rFonts w:ascii="Arial" w:hAnsi="Arial" w:cs="Arial"/>
                <w:sz w:val="21"/>
                <w:szCs w:val="22"/>
              </w:rPr>
              <w:t>Bash | Surveys | open data | Scaling | ML/Cloud Tools | Software Eng. | Q&amp;A</w:t>
            </w:r>
          </w:p>
        </w:tc>
      </w:tr>
    </w:tbl>
    <w:p w14:paraId="02278932" w14:textId="77777777" w:rsidR="00DD6FCA" w:rsidRDefault="00DD6FCA"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AA1AD3"/>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103B27"/>
    <w:rsid w:val="001E784F"/>
    <w:rsid w:val="002F5ACD"/>
    <w:rsid w:val="00455DC8"/>
    <w:rsid w:val="00705139"/>
    <w:rsid w:val="008151AB"/>
    <w:rsid w:val="00AA1AD3"/>
    <w:rsid w:val="00B436E2"/>
    <w:rsid w:val="00B954C0"/>
    <w:rsid w:val="00B95DDF"/>
    <w:rsid w:val="00C235AC"/>
    <w:rsid w:val="00DD6FCA"/>
    <w:rsid w:val="00E8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M  nhnGoogle's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2016-06-20T18:44:00Z</dcterms:created>
  <dcterms:modified xsi:type="dcterms:W3CDTF">2016-06-20T18:44:00Z</dcterms:modified>
</cp:coreProperties>
</file>