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로 무상 제공•운영하여야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⑥ 충전요금은 한국 전력의 전기요금, 환경부 충전요금 인상 또는 사업자의 사정에 따라 사업자가 변동할 수 있으며, 서비스제공자는 홈페</w:t>
            </w:r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앱(APP)에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⑨ 본 계약에 의해 설치된 시설물(주차면 글씨/도색 포함)에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운영손실비(완속충전기 기당 1일/1만원)를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⑩ 서비스이용자는‘공동주택관리법 제35조5항’에 의거하여 충전기 설치공사를 완료했을 때 시장·군수·구청장의 사용검사 필증을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⑪ 서비스이용자는 『환경친화적 자동차의 개발 및 보급 촉진에 관한 법률』에 따라 “충전소”운영을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에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제2조 계약의 해제•해지</w:t>
            </w:r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준공일(설치완료확인서기준)로부터 계약기간 동안 의무로 사용하여야 하며 중도 해제•해지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>   * 위약금 산정 방식: 기 투입비용(전기차 충전시설 설치비용) X (잔여 개월/약정 개월) + 철거비용+ 환경부 완속충전시설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(환수율/의무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r>
              <w:rPr>
                <w:rFonts w:hint="eastAsia"/>
                <w:sz w:val="18"/>
                <w:szCs w:val="18"/>
              </w:rPr>
              <w:t>일렉링크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활동내용</w:t>
            </w:r>
          </w:p>
        </w:tc>
        <w:tc>
          <w:tcPr>
            <w:tcW w:w="1863" w:type="dxa"/>
            <w:gridSpan w:val="3"/>
            <w:vAlign w:val="center"/>
          </w:tcPr>
          <w:p w14:paraId="6F6C1793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 w:rsidRPr="0050113A">
              <w:rPr>
                <w:rStyle w:val="ad"/>
                <w:rFonts w:hint="eastAsia"/>
                <w:b/>
                <w:bCs/>
                <w:i/>
                <w:iCs/>
                <w:color w:val="A6A6A6" w:themeColor="background1" w:themeShade="A6"/>
                <w:sz w:val="18"/>
                <w:szCs w:val="18"/>
                <w:u w:val="single"/>
              </w:rPr>
              <w:t xml:space="preserve"/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7kW 이상 ~ 11kW 미만</w:t>
            </w:r>
          </w:p>
        </w:tc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0FBBBB59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11kW 이상 ~ 30kW 미만</w:t>
            </w:r>
          </w:p>
        </w:tc>
        <w:tc>
          <w:tcPr>
            <w:gridSpan w:val="3"/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0FBBBB59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4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전력분배형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Month4"/>
            <w:bookmarkEnd w:id="10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1" w:name="ContDay4"/>
            <w:bookmarkEnd w:id="11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2" w:name="CustName5"/>
            <w:bookmarkEnd w:id="12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전기차 충전기 설치공사 관련하여 에스케이일렉링크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48736DF2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3" w:name="ContMonth5"/>
            <w:bookmarkEnd w:id="13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4" w:name="ContDay5"/>
            <w:bookmarkEnd w:id="14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5" w:name="CustName7"/>
            <w:bookmarkEnd w:id="15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6" w:name="CustName6"/>
        <w:bookmarkEnd w:id="16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7" w:name="CustTel3" w:displacedByCustomXml="next"/>
        <w:bookmarkEnd w:id="17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8" w:name="CustAddr3" w:displacedByCustomXml="next"/>
        <w:bookmarkEnd w:id="18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 w:hint="eastAsia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9" w:name="Parkinglot2"/>
        <w:bookmarkEnd w:id="19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20" w:name="Type33txt"/>
            <w:bookmarkEnd w:id="20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1" w:name="InstallAddr3" w:displacedByCustomXml="next"/>
        <w:bookmarkEnd w:id="21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/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FastQty"/>
            <w:bookmarkEnd w:id="22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Slow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4" w:name="PlugQty"/>
            <w:bookmarkEnd w:id="24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5" w:name="SurveyComp"/>
        <w:bookmarkEnd w:id="25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6" w:name="SurveyTel"/>
        <w:bookmarkEnd w:id="26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7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7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8" w:name="SurveyDate"/>
        <w:bookmarkEnd w:id="28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520A7" w14:textId="77777777" w:rsidR="0036683D" w:rsidRDefault="0036683D" w:rsidP="00BE0DB0">
      <w:pPr>
        <w:spacing w:after="0"/>
      </w:pPr>
      <w:r>
        <w:separator/>
      </w:r>
    </w:p>
  </w:endnote>
  <w:endnote w:type="continuationSeparator" w:id="0">
    <w:p w14:paraId="63CAAFC2" w14:textId="77777777" w:rsidR="0036683D" w:rsidRDefault="0036683D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3D0E" w14:textId="77777777" w:rsidR="0036683D" w:rsidRDefault="0036683D" w:rsidP="00BE0DB0">
      <w:pPr>
        <w:spacing w:after="0"/>
      </w:pPr>
      <w:r>
        <w:separator/>
      </w:r>
    </w:p>
  </w:footnote>
  <w:footnote w:type="continuationSeparator" w:id="0">
    <w:p w14:paraId="7C7143DC" w14:textId="77777777" w:rsidR="0036683D" w:rsidRDefault="0036683D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608B3"/>
    <w:rsid w:val="00986A8F"/>
    <w:rsid w:val="009D18C7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1543</Words>
  <Characters>5148</Characters>
  <Application>Microsoft Office Word</Application>
  <DocSecurity>0</DocSecurity>
  <Lines>450</Lines>
  <Paragraphs>301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2026-04-17T16:02:00Z</dcterms:modified>
</cp:coreProperties>
</file>