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深度尽职调查报告：Denali Therapeutics Inc. (DNLI) 的管线估值、临床统计学博弈与并购推演</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在评估处于商业化前夕与深度研发博弈阶段的生物技术公司（Biotech）时，管理团队的系统性基因往往决定了公司在应对 FDA 监管博弈、华尔街资本周期及大药企（Big Pharma）并购谈判时的生存与溢价概率。Denali Therapeutics（以下简称 Denali）的管理层并非传统的纯学术型科研团队，而是一支深谙大药企管线运作逻辑、精通资本市场游戏规则的“正规军”。</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核心高管履历与 Genentech 基因</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公司的核心高管团队几乎全部脱胎于全球顶尖创新药企基因泰克（Genentech，现属罗氏集团），这赋予了 Denali 极强的跨管线执行力与系统资源整合能力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首席执行官 (CEO) Ryan Watts 博士</w:t>
      </w:r>
      <w:r w:rsidDel="00000000" w:rsidR="00000000" w:rsidRPr="00000000">
        <w:rPr>
          <w:rFonts w:ascii="Google Sans" w:cs="Google Sans" w:eastAsia="Google Sans" w:hAnsi="Google Sans"/>
          <w:color w:val="1f1f1f"/>
          <w:rtl w:val="0"/>
        </w:rPr>
        <w:t xml:space="preserve">：Watts 博士曾担任 Genentech 神经科学部门的主管，主导了该公司重新进军神经科学领域的战略布局。在 Genentech 期间，他领导了多个涵盖阿尔茨海默病（AD）、帕金森病（PD）及肌萎缩侧索硬化症（ALS）的早期发现项目，并在血脑屏障（BBB）穿透技术的早期研发中积累了深厚的底层数据与专利布局经验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首席运营官兼首席财务官 (COO &amp; CFO) Alexander Schuth 博士 / MBA</w:t>
      </w:r>
      <w:r w:rsidDel="00000000" w:rsidR="00000000" w:rsidRPr="00000000">
        <w:rPr>
          <w:rFonts w:ascii="Google Sans" w:cs="Google Sans" w:eastAsia="Google Sans" w:hAnsi="Google Sans"/>
          <w:color w:val="1f1f1f"/>
          <w:rtl w:val="0"/>
        </w:rPr>
        <w:t xml:space="preserve">：Schuth 博士不仅拥有医学背景，还持有沃顿商学院的 MBA 学位。他曾是 Genentech 神经科学合作业务及技术创新诊断部门的负责人。在其职业生涯中，他主导过超过 35 项重大的商业合作交易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。这种技术与商务双核驱动的背景，直接解释了 Denali 为何能在尚未有任何一款产品获批上市的情况下，就能与 Biogen（帕金森管线 BIIB122）、Sanofi（RIPK1 抑制剂 SAR443122）和 Takeda（FTD 管线 TAK-594/DNL593）达成总价值数十亿美元的深度合作与 50/50 利润分成协议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临床开发领导力的更迭与升级</w:t>
      </w:r>
      <w:r w:rsidDel="00000000" w:rsidR="00000000" w:rsidRPr="00000000">
        <w:rPr>
          <w:rFonts w:ascii="Google Sans" w:cs="Google Sans" w:eastAsia="Google Sans" w:hAnsi="Google Sans"/>
          <w:color w:val="1f1f1f"/>
          <w:rtl w:val="0"/>
        </w:rPr>
        <w:t xml:space="preserve">：自 2015 年起便担任首席医疗官（CMO）的 Carole Ho 博士（曾主导过十余项 IND 及三项药物获批）于 2025 年末离职，出任礼来公司（Eli Lilly）神经科学部门总裁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 PDUFA 关键节点前核心高管离职通常被市场视为高度预警的负面信号（Red Flag），但客观推演表明，Carole Ho 被全球市值最高的药企之一挖角，反而从侧面印证了业界对 Denali 临床试验设计质量与管线潜力的最高级别背书。接任的代理 CMO Peter Chin 博士同样拥有 Genentech 与 Novartis 的深厚背景，并自 2019 年起便实际负责 Denali 酶替代疗法（ETV）后期的临床开发与商业化准备工作，确保了核心管线 DNL310 与 DNL126 监管路径的无缝衔接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顶级资本财技与商业化防线部署</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从过往的 Track Record 来看，该团队展现出了极其冷酷的管线剪枝（Pipeline Pruning）能力与前瞻性的资本运作手段。2025 年底，在面临核心管线 tividenofusp alfa（DNL310）即将迎来 2026 年 4 月 FDA 审批的关键节点前，管理层并未选择在数据公布后进行高风险的定增，而是在 2025 年 12 月以极高的效率完成了一套组合融资：通过向 Royalty Pharma 出售 DNL310 的部分未来合成特许权使用费（Synthetic Royalty）获得 2.75 亿美元，并同步完成 2 亿美元的公开市场股权定增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。这一举措在极小化股权稀释的前提下，彻底消除了华尔街对公司未来两年现金流断裂的担忧。</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此外，argenx 的联合创始人兼 CEO Tim Van Hauwermeiren 于近期加入 Denali 董事会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。argenx 是过去十年欧洲最成功的 Biotech 之一，Tim 的加入显然是为了向 Denali 注入从早期研发阶段向全球商业化（Commercial Launch）阶段跃迁的实战经验，标志着 Denali 的管理层基建已经完全切换至“重磅药物商业化与潜在并购防御”双轨模式。</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Denali 的核心估值并不锚定于单一分子，而是建立在其高度模块化的 TransportVehicle (TV) 递送平台上。血脑屏障（BBB）阻挡了约 98% 的小分子和几乎 100% 的大分子生物药（如单抗、酶、寡核苷酸）进入中枢神经系统（CNS），而 Denali 通过受体介导的胞吞作用（RMT）对这一世纪难题进行了降维打击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。以下针对其估值占比最重的两个核心资产进行深度拆解。</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核心管线一：tividenofusp alfa (DNL310) — 针对 Hunter 综合征 (MPS II) 的 ETV 疗法</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护城河：转铁蛋白受体（TfR1）的双刃剑与亲和力重构</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DNL310 是一种将艾杜糖醛酸-2-硫酸酯酶（IDS）与 Enzyme TransportVehicle (ETV) 平台融合的下一代酶替代疗法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。其作用机制（MoA）并非完全 Novel 的盲盒，靶向 TfR1 实现跨 BBB 递送在业界属于已有验证的靶点（Validated target）。然而，历史上针对 TfR 的抗体递送常常折戟于两个致命缺陷：第一是高亲和力导致的“受体饱和与内皮细胞内滞留”（Vascular trapping，即药物进入血管内皮细胞后无法释放到脑实质）；第二是对广泛表达 TfR 的外周网织红细胞造成严重的脱靶毒性与清除效应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Denali 的核心护城河在于其“低亲和力/去效应子功能”（Low-affinity / Effector-null）的 Fc 结构域工程化设计。通过随机化 Fc 区域的特定氨基酸序列（而非使用外源性连接子序列），Denali 创造了能够与 TfR 松散结合的双价态（或单价态优化）载体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。这种精确调控的亲和力（Affinity tuning）确保了分子在被内吞进入内皮细胞并转移至脑实质一侧（Abluminal side）时，能够顺利脱落并释放治疗酶，而不是与受体共同进入溶酶体被降解。这套在非人灵长类动物（NHP）中耗费数年摸索出的亲和力阈值参数，是该平台的顶级机密，构成了极难被竞争对手通过简单逆向工程复制的底层壁垒。</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数据透视：生物标志物的绝对统治力</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2026 年 1 月 1 日发表于《新英格兰医学杂志》（NEJM）的 Phase 1/2 期（NCT04251026）长期随访数据中，DNL310 展现出了统治级的生物标志物压制力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底物清除（CSF HS）</w:t>
      </w:r>
      <w:r w:rsidDel="00000000" w:rsidR="00000000" w:rsidRPr="00000000">
        <w:rPr>
          <w:rFonts w:ascii="Google Sans" w:cs="Google Sans" w:eastAsia="Google Sans" w:hAnsi="Google Sans"/>
          <w:color w:val="1f1f1f"/>
          <w:rtl w:val="0"/>
        </w:rPr>
        <w:t xml:space="preserve">：脑脊液（CSF）中的硫酸乙酰肝素（HS）是 MPS II 脑部病理堆积的主要底物。治疗 24 周后，患者 CSF HS 平均下降了 91%（95% CI，90% 至 92%），且这种深度抑制在长达 153 周的随访中持续维持在 92%。更为震撼的是，在第 24 周，高达 93% 的试验参与者其 CSF HS 绝对值降至了非患病健康儿童的正常参考范围内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神经保护（NfL）</w:t>
      </w:r>
      <w:r w:rsidDel="00000000" w:rsidR="00000000" w:rsidRPr="00000000">
        <w:rPr>
          <w:rFonts w:ascii="Google Sans" w:cs="Google Sans" w:eastAsia="Google Sans" w:hAnsi="Google Sans"/>
          <w:color w:val="1f1f1f"/>
          <w:rtl w:val="0"/>
        </w:rPr>
        <w:t xml:space="preserve">：作为反映神经元轴突损伤和疾病进展的客观黄金标准，血清神经丝轻链（NfL）水平在第 49 周下降了 21%，在第 153 周实现了惊人的 76% 下降，85% 的患者 NfL 恢复至健康儿童范围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。这种在外周和中枢同时达到的深度疾病控制，为 FDA 接受其生物标志物作为加速审批（Accelerated Approval）的替代终点提供了最坚实的科学基础。</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试验设计审视：COMPASS Phase 2/3 试验的监管博弈与量表反噬风险</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DNL310 目前正在进行全球多中心 Phase 2/3 试验（COMPASS，NCT05371613），该试验的终点设计和对照组选择充满了高阶的临床统计学博弈。</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对照组（Comparator）选择的精妙之处</w:t>
      </w:r>
      <w:r w:rsidDel="00000000" w:rsidR="00000000" w:rsidRPr="00000000">
        <w:rPr>
          <w:rFonts w:ascii="Google Sans" w:cs="Google Sans" w:eastAsia="Google Sans" w:hAnsi="Google Sans"/>
          <w:color w:val="1f1f1f"/>
          <w:rtl w:val="0"/>
        </w:rPr>
        <w:t xml:space="preserve">：COMPASS 试验采用了随机、双盲、阳性对照（Active-controlled）设计，将 54 名受试者按 2:1 比例随机分配接受 DNL310 或当前的标准疗法（SOC）idursulfase（Elaprase）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。选择 idursulfase 是极其高明的：因为现有的 SOC 完全无法穿透血脑屏障，因此在评估中枢神经系统相关终点（如 CSF HS 下降和认知量表）时，DNL310 实际上是在与“安慰剂”赛跑，具备极大的赢面；同时，在缓解外周症状（如肝脾肿大）方面提供 SOC 又完全符合伦理要求，杜绝了 FDA 对剥夺患儿基础治疗的质询。</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终点设计（Endpoints）的水分与雷区</w:t>
      </w:r>
      <w:r w:rsidDel="00000000" w:rsidR="00000000" w:rsidRPr="00000000">
        <w:rPr>
          <w:rFonts w:ascii="Google Sans" w:cs="Google Sans" w:eastAsia="Google Sans" w:hAnsi="Google Sans"/>
          <w:color w:val="1f1f1f"/>
          <w:rtl w:val="0"/>
        </w:rPr>
        <w:t xml:space="preserve">：尽管主要终点之一的 CSF HS 下降毫无悬念，但针对神经病变型患者（Cohort A）的另一关键终点引发了统计学隐患——</w:t>
      </w:r>
      <w:r w:rsidDel="00000000" w:rsidR="00000000" w:rsidRPr="00000000">
        <w:rPr>
          <w:rFonts w:ascii="Google Sans" w:cs="Google Sans" w:eastAsia="Google Sans" w:hAnsi="Google Sans"/>
          <w:b w:val="1"/>
          <w:bCs w:val="1"/>
          <w:color w:val="1f1f1f"/>
          <w:rtl w:val="0"/>
        </w:rPr>
        <w:t xml:space="preserve">Vineland-3（维兰德适应性行为量表第三版）和 BSID-III（贝利婴幼儿发展量表第三版）的评分变化</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。深度学术推演表明，Vineland-3 在评估患有重度神经发育障碍的 MPS II 儿童时，存在严重的“地板效应”（Floor effects）和敏感度缺失。独立研究（如 Simons Foundation 的分析）证实，对于智力受损的个体，Vineland-3 的评分往往产生严重的向下偏移，这意味着在具有严重认知衰退的患者中，极难捕捉到药物带来的早期微小临床获益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。BSID-III 虽然相对敏感，但由于 MPS II 患儿的基线认知水平极低，即使药物完全阻止了进一步的脑部损伤，受试者也需要长达 1-2 年的时间才能在年龄当量（Age Equivalent）上展现出 1-2 个月的微弱统计学差异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。如果 DNL310 在未来寻求完全批准（Full Approval）时，这些临床量表终点未能达到 p &lt; 0.05 的统计学显著性，将成为其被空头做空的最大阿喀琉斯之踵。</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核心管线二：BIIB122/DNL151 — 针对帕金森病 (PD) 的 LRRK2 抑制剂</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BIIB122 是 Denali 与 Biogen 合作开发的一种高选择性、高 CNS 穿透率的小分子 LRRK2 激酶抑制剂，目标是延缓甚至逆转帕金森病的进程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数据透视与 MoA 逻辑</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LRRK2 基因突变是帕金森病最常见的遗传驱动因素之一，其过度活跃会导致溶酶体功能障碍和 α-突触核蛋白聚集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。在 Phase 1/1b 试验中，BIIB122 展现了近乎完美的目标靶点交联（Target Engagement）：药物在脑脊液与游离血浆中的浓度比（CSF/unbound plasma ratio）约为 1，全血中 LRRK2 激酶活性的抑制率高达 98%，并且显著降低了尿液中 BMP（溶酶体功能障碍的脂质标志物）水平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。在前期研发中，第一代 LRRK2 抑制剂曾在非人灵长类动物中引发肺部液泡化（Lung vacuolization）毒性，但 BIIB122 目前在人体中显示出良好的耐受性，未见严重不良事件（SAE）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试验设计审视：LUMA 试验“生存分析”的死亡轮盘赌</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 年，Biogen 和 Denali 做出了一项极具争议的战略调整：由于预估试验周期过长（至 2031 年），双方叫停了专门针对 LRRK2 突变患者的 Phase 3 LIGHTHOUSE 试验，转而将所有资源倾注于扩大规模的 Phase 2b LUMA 试验（NCT05348785），并在该试验中同时纳入带有 LRRK2 突变和无突变（特发性）的早期 PD 患者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致命的终点考量</w:t>
      </w:r>
      <w:r w:rsidDel="00000000" w:rsidR="00000000" w:rsidRPr="00000000">
        <w:rPr>
          <w:rFonts w:ascii="Google Sans" w:cs="Google Sans" w:eastAsia="Google Sans" w:hAnsi="Google Sans"/>
          <w:color w:val="1f1f1f"/>
          <w:rtl w:val="0"/>
        </w:rPr>
        <w:t xml:space="preserve">：LUMA 试验入组了 640 名患者，其主要终点被设定为**“MDS-UPDRS（统一帕金森病评定量表）第二和第三部分综合评分出现确认恶化的时间”（Time to Confirmed Worsening）**，观察期为 48 至 144 周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从临床统计学和量化投研的角度来看，采用“至事件发生时间”（Time-to-event）作为帕金森病试验的主要终点，而非传统的“均值相对基线的变化”（Mean change from baseline），是一个风险极高的豪赌。</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统计学劣势</w:t>
      </w:r>
      <w:r w:rsidDel="00000000" w:rsidR="00000000" w:rsidRPr="00000000">
        <w:rPr>
          <w:rFonts w:ascii="Google Sans" w:cs="Google Sans" w:eastAsia="Google Sans" w:hAnsi="Google Sans"/>
          <w:color w:val="1f1f1f"/>
          <w:rtl w:val="0"/>
        </w:rPr>
        <w:t xml:space="preserve">：生存分析（Survival Analysis，如 Kaplan-Meier 估计与 Cox 比例风险模型）对“事件发生率”（Event rate）高度敏感。早期 PD 患者在接受标准多巴胺能治疗时，其运动症状进展往往被掩盖，进展相对缓慢。如果在最长 144 周的观察期内，安慰剂组没有出现足够多且符合“连续两次评估确认恶化”的事件（Event），试验的统计功效（Statistical Power）将遭到毁灭性打击，容易得出假阴性（Type II Error）结论。</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监管优势</w:t>
      </w:r>
      <w:r w:rsidDel="00000000" w:rsidR="00000000" w:rsidRPr="00000000">
        <w:rPr>
          <w:rFonts w:ascii="Google Sans" w:cs="Google Sans" w:eastAsia="Google Sans" w:hAnsi="Google Sans"/>
          <w:color w:val="1f1f1f"/>
          <w:rtl w:val="0"/>
        </w:rPr>
        <w:t xml:space="preserve">：为什么 Denali 坚持采用这一终点？因为一旦统计学显著，这代表了医学界梦寐以求的“疾病修饰”（Disease-modifying）证据。仅仅证明评分均值降低，FDA 可能只认为这是类似左旋多巴的症状对症缓解（Symptomatic relief）；但证明“延缓了恶化发生的时间”，将使 BIIB122 成为史上首个获得 PD 疾病修饰标签的超级重磅炸弹。这是一个非生即死、不留退路的终点设计。</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在全球中枢神经系统靶向递送与罕见病赛道，Denali 既面临着现有竞争者的监管博弈，也承受着来自中国 Biotech 极速工程化能力发起的“Me-better / Fast-follower”围剿。</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赛道全景：MPS II (Hunter 综合征) 的 In-class 与 Out-of-class 竞品对比</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在解决 MPS II 中枢神经病变的疗法中，全球形成了三大技术流派的鼎立之势。</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药物/代号 (公司)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技术机制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临床与监管进度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核心优势 (Pros)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核心劣势与投资痛点 (Cons)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tividenofusp alfa (DNL310)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Denali Therapeutics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ETV (TfR1 介导) 酶替代静脉注射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 优先审查中</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PDUFA: </w:t>
            </w:r>
            <w:r w:rsidDel="00000000" w:rsidR="00000000" w:rsidRPr="00000000">
              <w:rPr>
                <w:rFonts w:ascii="Google Sans" w:cs="Google Sans" w:eastAsia="Google Sans" w:hAnsi="Google Sans"/>
                <w:b w:val="1"/>
                <w:bCs w:val="1"/>
                <w:color w:val="1f1f1f"/>
                <w:shd w:fill="auto" w:val="clear"/>
                <w:rtl w:val="0"/>
              </w:rPr>
              <w:t xml:space="preserve">2026/04/05</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低亲和力设计避免内皮阻滞，脑暴露量极高。无基因组整合致瘤风险。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需终身每周接受静脉输注，患者依从性压力大。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pabinafusp alfa (IZCARGO / JR-141)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JCR Pharmaceuticals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J-Brain Cargo (hTfR 抗体融合) 静脉注射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日本已获批上市；全球 Phase 3 STARLIGHT 进行中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已有长达五年的真实世界数据支撑，证实了长期神经认知维稳效果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欧美市场多中心试验进度落后 Denali 超过两年，失去先发红利。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clemidsogene lanparvovec (RGX-121)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REGENXBIO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AAV9 基因疗法（小脑延髓池一次性注射）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2026年2月遭 FDA 拒绝 (CRL)</w:t>
            </w:r>
            <w:r w:rsidDel="00000000" w:rsidR="00000000" w:rsidRPr="00000000">
              <w:rPr>
                <w:rFonts w:ascii="Google Sans" w:cs="Google Sans" w:eastAsia="Google Sans" w:hAnsi="Google Sans"/>
                <w:color w:val="1f1f1f"/>
                <w:shd w:fill="auto" w:val="clear"/>
                <w:rtl w:val="0"/>
              </w:rPr>
              <w:t xml:space="preserve">，管线受挫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一次性治愈潜力，可实现脑内持续分泌 IDS 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遭遇</w:t>
            </w:r>
            <w:r w:rsidDel="00000000" w:rsidR="00000000" w:rsidRPr="00000000">
              <w:rPr>
                <w:rFonts w:ascii="Google Sans" w:cs="Google Sans" w:eastAsia="Google Sans" w:hAnsi="Google Sans"/>
                <w:b w:val="1"/>
                <w:bCs w:val="1"/>
                <w:color w:val="1f1f1f"/>
                <w:shd w:fill="auto" w:val="clear"/>
                <w:rtl w:val="0"/>
              </w:rPr>
              <w:t xml:space="preserve">致命级监管打击</w:t>
            </w:r>
            <w:r w:rsidDel="00000000" w:rsidR="00000000" w:rsidRPr="00000000">
              <w:rPr>
                <w:rFonts w:ascii="Google Sans" w:cs="Google Sans" w:eastAsia="Google Sans" w:hAnsi="Google Sans"/>
                <w:color w:val="1f1f1f"/>
                <w:shd w:fill="auto" w:val="clear"/>
                <w:rtl w:val="0"/>
              </w:rPr>
              <w:t xml:space="preserve">：因相关 AAV 载体引发 CNS 原癌基因 (PLAG1) 过度表达导致肿瘤，被下达 Clinical Hold。且 FDA 拒绝单臂试验设计。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竞品灾难带来的绝对利好 (De-risking Event)</w:t>
      </w:r>
      <w:r w:rsidDel="00000000" w:rsidR="00000000" w:rsidRPr="00000000">
        <w:rPr>
          <w:rFonts w:ascii="Google Sans" w:cs="Google Sans" w:eastAsia="Google Sans" w:hAnsi="Google Sans"/>
          <w:color w:val="1f1f1f"/>
          <w:rtl w:val="0"/>
        </w:rPr>
        <w:t xml:space="preserve">：2026 年 2 月初，FDA 对 REGENXBIO 的 RGX-121 下发了完全回复函（CRL）。FDA 的核心拒绝理由在于：单臂试验缺乏适当的外部自然史对照、无法有效区分神经病变型与非神经病变型患者，最关键的是，FDA 认为其脑脊液生物标志物 HS D2S6 不足以作为预测临床获益的合理替代终点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。随后，该项目因同类产品引发脑肿瘤而被 FDA 紧急下达临床暂停指令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华尔街部分资金曾担忧 FDA 拒批 RGX-121 意味着监管机构对所有以 CSF HS 为终点的 MPS II 药物收紧了尺度。然而，深度的尽调逻辑推演表明，这对 Denali 实际上是</w:t>
      </w:r>
      <w:r w:rsidDel="00000000" w:rsidR="00000000" w:rsidRPr="00000000">
        <w:rPr>
          <w:rFonts w:ascii="Google Sans" w:cs="Google Sans" w:eastAsia="Google Sans" w:hAnsi="Google Sans"/>
          <w:b w:val="1"/>
          <w:bCs w:val="1"/>
          <w:color w:val="1f1f1f"/>
          <w:rtl w:val="0"/>
        </w:rPr>
        <w:t xml:space="preserve">重大利好</w:t>
      </w:r>
      <w:r w:rsidDel="00000000" w:rsidR="00000000" w:rsidRPr="00000000">
        <w:rPr>
          <w:rFonts w:ascii="Google Sans" w:cs="Google Sans" w:eastAsia="Google Sans" w:hAnsi="Google Sans"/>
          <w:color w:val="1f1f1f"/>
          <w:rtl w:val="0"/>
        </w:rPr>
        <w:t xml:space="preserve">。首先，Denali 的 COMPASS 试验采用的是面对头阳性对照（vs Elaprase），彻底规避了单臂历史对照的统计学缺陷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。其次，Denali 的 DNL310 除了 CSF HS，还积累了具有强说服力的 NfL 神经损伤长期下降数据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。最重要的是，作为重组蛋白药物，DNL310 绝对不存在 AAV 基因疗法由于基因组随机整合引发的致瘤（Oncogenic）黑框警告风险。REGENXBIO 的出局，不仅为 Denali 清理了商业化赛道，更在客观上将 Denali 推向了 MPS II 脑部治疗的唯一破局者地位。</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反内卷护城河：应对“中国 Biotech”的高阶防线</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根据最新行业数据，中国 Biotech 凭借庞大的工程师红利、较低的临床成本以及灵活的审评审批制度，在全球创新药管线中的占比已从 2018 年的 8% 飙升至 2026 年的 30%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。在血脑屏障（BBB）递送技术领域，中国的 Me-too 与 Fast-follower 正在形成极具威胁的矩阵：</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Biocytogen（百奥泰）</w:t>
      </w:r>
      <w:r w:rsidDel="00000000" w:rsidR="00000000" w:rsidRPr="00000000">
        <w:rPr>
          <w:rFonts w:ascii="Google Sans" w:cs="Google Sans" w:eastAsia="Google Sans" w:hAnsi="Google Sans"/>
          <w:color w:val="1f1f1f"/>
          <w:rtl w:val="0"/>
        </w:rPr>
        <w:t xml:space="preserve">：正在利用其 RenMice 全人源抗体平台开发靶向 TfR1 和 CD98 的 BBB 穿梭载体，旨在快速筛出最优序列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ABL Bio</w:t>
      </w:r>
      <w:r w:rsidDel="00000000" w:rsidR="00000000" w:rsidRPr="00000000">
        <w:rPr>
          <w:rFonts w:ascii="Google Sans" w:cs="Google Sans" w:eastAsia="Google Sans" w:hAnsi="Google Sans"/>
          <w:color w:val="1f1f1f"/>
          <w:rtl w:val="0"/>
        </w:rPr>
        <w:t xml:space="preserve">（韩国企业，但商业模式与中国 Biotech 高度同源）：其 Grabody-B 平台通过靶向胰岛素样生长因子 1 受体（IGF1R）而非 TfR1 来实现脑部递送，试图绕过 TfR1 的专利与安全壁垒，该平台已与 Sanofi 达成价值超过 10 亿美元的深度授权协议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Insilico Medicine（英矽智能）</w:t>
      </w:r>
      <w:r w:rsidDel="00000000" w:rsidR="00000000" w:rsidRPr="00000000">
        <w:rPr>
          <w:rFonts w:ascii="Google Sans" w:cs="Google Sans" w:eastAsia="Google Sans" w:hAnsi="Google Sans"/>
          <w:color w:val="1f1f1f"/>
          <w:rtl w:val="0"/>
        </w:rPr>
        <w:t xml:space="preserve">：利用 AI 平台开发出高透脑率的 NLRP3 抑制剂，并与 Hygtia Therapeutics 达成 6600 万美元的合作以争夺 CNS 疾病市场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面对亚洲 Biotech 的“唯快不破”，Denali 的 Asset 是否具备足够深的防线？答案是肯定的，其</w:t>
      </w:r>
      <w:r w:rsidDel="00000000" w:rsidR="00000000" w:rsidRPr="00000000">
        <w:rPr>
          <w:rFonts w:ascii="Google Sans" w:cs="Google Sans" w:eastAsia="Google Sans" w:hAnsi="Google Sans"/>
          <w:b w:val="1"/>
          <w:bCs w:val="1"/>
          <w:color w:val="1f1f1f"/>
          <w:rtl w:val="0"/>
        </w:rPr>
        <w:t xml:space="preserve">反内卷护城河深植于大分子药物开发的底层工程学与时间壁垒中</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亲和力工程的非线性试错壁垒</w:t>
      </w:r>
      <w:r w:rsidDel="00000000" w:rsidR="00000000" w:rsidRPr="00000000">
        <w:rPr>
          <w:rFonts w:ascii="Google Sans" w:cs="Google Sans" w:eastAsia="Google Sans" w:hAnsi="Google Sans"/>
          <w:color w:val="1f1f1f"/>
          <w:rtl w:val="0"/>
        </w:rPr>
        <w:t xml:space="preserve">：许多后来者在利用高通量平台设计 BBB 穿梭抗体时，系统算法往往习惯性地寻找对 TfR 具有“最高结合亲和力”的序列。然而正如前文所述，高亲和力在 BBB 递送中是毒药——它会导致药物困在血管内皮中并毒杀网织红细胞。Denali 耗费近十年时间在庞大的非人灵长类动物（NHP）矩阵中进行体内实测，才摸索出能够实现跨胞吞作用（Transcytosis）的最佳“亲和力与结合价态（Valency）组合”。这种复杂的 In-vivo 动态平衡，是中国 Biotech 仅靠 In-vitro 筛选和 AI 算法在短期内无法绕过的黑盒。</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临床安全性数据库的时间复利</w:t>
      </w:r>
      <w:r w:rsidDel="00000000" w:rsidR="00000000" w:rsidRPr="00000000">
        <w:rPr>
          <w:rFonts w:ascii="Google Sans" w:cs="Google Sans" w:eastAsia="Google Sans" w:hAnsi="Google Sans"/>
          <w:color w:val="1f1f1f"/>
          <w:rtl w:val="0"/>
        </w:rPr>
        <w:t xml:space="preserve">：TfR1 在全身多个外周组织中广泛表达，长期干预可能导致难以预料的脱靶毒性（Off-target toxicity）。Denali 的 DNL310 已经积累了超过 4 年的长期人体连续给药安全性数据，且未见严重安全性红旗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。在极其看重安全性的儿科罕见病（如 MPS II、MPS IIIA）领域，FDA 对缺乏长期人体安全数据的后来者将设定极高的准入门槛。时间，是 Denali 面对快发跟随者最宽广的护城河。</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与真实的 Unmet Need 痛点</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MPS II（Hunter 综合征）是一种罕见的 X 连锁隐性遗传性疾病。目标适应症的全球患者总数（TAM）极小，全球确诊病例仅数千人（主要为男童）</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。然而，由于罕见病孤儿药的高昂定价机制（目前标准疗法年度治疗费用在 30 万至 50 万美元甚至更高），这是一个刚性且高净值的数亿美元利基市场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当前的真实痛点（Unmet Need）并不在于“如何治疗身体”，而是“如何拯救大脑”。目前市场的标准疗法（SOC）是武田（Takeda）旗下的 Elaprase（idursulfase）。由于大分子酶无法穿透血脑屏障，Elaprase 只能缓解患者的肝脾肿大、关节僵硬等躯体症状。然而，约三分之二的 MPS II 患者患有“神经病变型”（Neuronopathic MPS II）</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。这些患儿在接受昂贵的现有治疗时，其大脑中的毒性代谢物仍在不断累积，认知功能不可逆地退化，通常在青少年时期便失去语言和自理能力并早夭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商业化破局与差异化打击 (Differentiate)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基于这一痛点，Denali 的商业化破局策略极为冷酷且极具侵略性：</w:t>
      </w:r>
      <w:r w:rsidDel="00000000" w:rsidR="00000000" w:rsidRPr="00000000">
        <w:rPr>
          <w:rFonts w:ascii="Google Sans" w:cs="Google Sans" w:eastAsia="Google Sans" w:hAnsi="Google Sans"/>
          <w:b w:val="1"/>
          <w:bCs w:val="1"/>
          <w:color w:val="1f1f1f"/>
          <w:rtl w:val="0"/>
        </w:rPr>
        <w:t xml:space="preserve">直接降维打击，寻求全面替代（Total Replacement）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 DNL310 在 2026 年 4 月获得 FDA 批准，Denali 将立刻开展对现有 SOC 的市场掠夺。其差异化优势在于：</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统一给药路径下的双重疗效</w:t>
      </w:r>
      <w:r w:rsidDel="00000000" w:rsidR="00000000" w:rsidRPr="00000000">
        <w:rPr>
          <w:rFonts w:ascii="Google Sans" w:cs="Google Sans" w:eastAsia="Google Sans" w:hAnsi="Google Sans"/>
          <w:color w:val="1f1f1f"/>
          <w:rtl w:val="0"/>
        </w:rPr>
        <w:t xml:space="preserve">：DNL310 采用与现有 SOC 完全相同的每周一次常规静脉滴注给药，不需要像基因疗法那样进行高风险的外科级小脑延髓池注射，也不需要植入鞘内导管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。这种无缝切换的给药方式极大地降低了医生和患者的转换门槛（Switching cost）。在同一针输注中，DNL310 既能通过外周循环控制躯体症状，又能凭借 TV 平台穿透 BBB 保护神经认知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极速渗透与销售额爬坡</w:t>
      </w:r>
      <w:r w:rsidDel="00000000" w:rsidR="00000000" w:rsidRPr="00000000">
        <w:rPr>
          <w:rFonts w:ascii="Google Sans" w:cs="Google Sans" w:eastAsia="Google Sans" w:hAnsi="Google Sans"/>
          <w:color w:val="1f1f1f"/>
          <w:rtl w:val="0"/>
        </w:rPr>
        <w:t xml:space="preserve">：罕见病市场高度集中于少数核心医疗中心和关键意见领袖（KOL）。Denali 的商业化团队只需展示 NEJM 上那张“脑脊液病理底物断崖式下降 90% 以上”的绝对优势图表，便有足够理由说服保险机构和支付方将 DNL310 纳入优选处方集。华尔街分析师共识预测，DNL310 在 2026 年的初始营收约为 800 万美元，而到 2030 财年将飙升至 4.33 亿美元，实质上是对现有 Elaprase 市场份额的无情接管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不仅如此，DNL310 的商业化破局只是前奏。2026 年 WORLDSymposium 会议上公布的初步数据显示，针对目前完全无药可治的 MPS IIIA（Sanfilippo 综合征 A 型），Denali 的 DNL126 同样实现了 CSF HS 均值 80% 的断层式下降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。DNL310 蹚平的监管与商业渠道，将使 DNL126、DNL952（庞贝病）乃至未来的阿尔茨海默病管线（DNL628）实现零摩擦的快速推进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在当前宏观环境下，Denali 堪称华尔街并购雷达屏幕上最耀眼、最“待价而沽”的去风险（De-risked）标的之一。2025-2030 年，全球主要大药企将面临超过 2300 亿美元营收规模的专利悬崖（Patent Cliff）</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。手握巨量现金的 Big Pharma 正在市场上疯狂扫货，试图通过溢价并购已在临床后期或即将商业化的大品种来填补未来的财务黑洞。</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 CNS 领域的估值重估</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过去两年，神经科学（CNS）领域的并购热度及溢价乘数甚至超越了传统的肿瘤学，大药企对能够突破血脑屏障递送瓶颈的技术平台表现出了近乎疯狂的渴望：</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2025 年 1 月，强生（J&amp;J）斥资 </w:t>
      </w:r>
      <w:r w:rsidDel="00000000" w:rsidR="00000000" w:rsidRPr="00000000">
        <w:rPr>
          <w:rFonts w:ascii="Google Sans" w:cs="Google Sans" w:eastAsia="Google Sans" w:hAnsi="Google Sans"/>
          <w:b w:val="1"/>
          <w:bCs w:val="1"/>
          <w:color w:val="1f1f1f"/>
          <w:rtl w:val="0"/>
        </w:rPr>
        <w:t xml:space="preserve">146 亿美元</w:t>
      </w:r>
      <w:r w:rsidDel="00000000" w:rsidR="00000000" w:rsidRPr="00000000">
        <w:rPr>
          <w:rFonts w:ascii="Google Sans" w:cs="Google Sans" w:eastAsia="Google Sans" w:hAnsi="Google Sans"/>
          <w:color w:val="1f1f1f"/>
          <w:rtl w:val="0"/>
        </w:rPr>
        <w:t xml:space="preserve"> 全现金收购神经科学专科公司 Intra-Cellular Therapies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诺华（Novartis）斥资 </w:t>
      </w:r>
      <w:r w:rsidDel="00000000" w:rsidR="00000000" w:rsidRPr="00000000">
        <w:rPr>
          <w:rFonts w:ascii="Google Sans" w:cs="Google Sans" w:eastAsia="Google Sans" w:hAnsi="Google Sans"/>
          <w:b w:val="1"/>
          <w:bCs w:val="1"/>
          <w:color w:val="1f1f1f"/>
          <w:rtl w:val="0"/>
        </w:rPr>
        <w:t xml:space="preserve">127 亿美元</w:t>
      </w:r>
      <w:r w:rsidDel="00000000" w:rsidR="00000000" w:rsidRPr="00000000">
        <w:rPr>
          <w:rFonts w:ascii="Google Sans" w:cs="Google Sans" w:eastAsia="Google Sans" w:hAnsi="Google Sans"/>
          <w:color w:val="1f1f1f"/>
          <w:rtl w:val="0"/>
        </w:rPr>
        <w:t xml:space="preserve"> 收购 Avidity Biosciences，表明巨头对新型递送平台极高的支付意愿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最直接的对标案例：2024 年 10 月，AbbVie 斥资 </w:t>
      </w:r>
      <w:r w:rsidDel="00000000" w:rsidR="00000000" w:rsidRPr="00000000">
        <w:rPr>
          <w:rFonts w:ascii="Google Sans" w:cs="Google Sans" w:eastAsia="Google Sans" w:hAnsi="Google Sans"/>
          <w:b w:val="1"/>
          <w:bCs w:val="1"/>
          <w:color w:val="1f1f1f"/>
          <w:rtl w:val="0"/>
        </w:rPr>
        <w:t xml:space="preserve">14 亿美元</w:t>
      </w:r>
      <w:r w:rsidDel="00000000" w:rsidR="00000000" w:rsidRPr="00000000">
        <w:rPr>
          <w:rFonts w:ascii="Google Sans" w:cs="Google Sans" w:eastAsia="Google Sans" w:hAnsi="Google Sans"/>
          <w:color w:val="1f1f1f"/>
          <w:rtl w:val="0"/>
        </w:rPr>
        <w:t xml:space="preserve"> 收购了仅处于 Phase 1 早期的 Aliada Therapeutics。Aliada 唯一被看重的就是其穿越血脑屏障的 MODEL™ 平台及其早期阿尔茨海默病管线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。与之相比，Denali 的 TV 平台技术成熟度高出几个维度，且已经跑通了 FDA 的关键临床验证，其估值底线显然远高于 Aliada。</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推演</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结合大药企当前的资产短板、战略焦虑以及过往的合作历史，推测有三家巨头具备最强烈的收购动机：</w:t>
      </w:r>
    </w:p>
    <w:p w:rsidR="00000000" w:rsidDel="00000000" w:rsidP="00000000" w:rsidRDefault="00000000" w:rsidRPr="00000000" w14:paraId="0000006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Biogen (渤健)</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头号潜在买家</w:t>
      </w:r>
      <w:r w:rsidDel="00000000" w:rsidR="00000000" w:rsidRPr="00000000">
        <w:rPr>
          <w:rFonts w:ascii="Google Sans" w:cs="Google Sans" w:eastAsia="Google Sans" w:hAnsi="Google Sans"/>
          <w:color w:val="1f1f1f"/>
          <w:rtl w:val="0"/>
        </w:rPr>
        <w:t xml:space="preserve">。作为传统神经科学巨头，Biogen 近年来在阿尔茨海默病（Aduhelm 的退市与 Leqembi 的缓慢爬坡）上备受打击，急需能够改变估值模型的新增长引擎。更关键的是，Biogen 已经是 Denali 帕金森病管线 BIIB122 的全球合作伙伴（50/50 利润分成）</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。如果 2026 年中旬，LUMA Phase 2b 试验的数据读出显示出强烈的疾病修饰信号，Biogen 将面临管线价值外流的严重战略被动。出于控制超级重磅炸弹全部收益的动机，以及顺势斩获整个 BBB 平台以解决其自身反义寡核苷酸（ASO）管线脑部递送瓶颈的考量，Biogen 极有可能直接发起全盘收购。</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Takeda (武田制药)</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防御性并购（Defensive M&amp;A）的最强动机</w:t>
      </w:r>
      <w:r w:rsidDel="00000000" w:rsidR="00000000" w:rsidRPr="00000000">
        <w:rPr>
          <w:rFonts w:ascii="Google Sans" w:cs="Google Sans" w:eastAsia="Google Sans" w:hAnsi="Google Sans"/>
          <w:color w:val="1f1f1f"/>
          <w:rtl w:val="0"/>
        </w:rPr>
        <w:t xml:space="preserve">。作为现任 MPS II 市场霸主（Elaprase 的拥有者），Takeda 已经嗅到了被 Denali 彻底颠覆的死亡危机。事实上，Takeda 为保住罕见病市场，已经收购了 JCR Pharma 竞品 IZCARGO 的部分海外权利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。同时，Takeda 正与 Denali 深度合作开发额颞叶痴呆（FTD）管线 TAK-594/DNL593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。为了一劳永逸地化解 DNL310 带来的市场毁灭威胁，同时垄断后续的 ETV 平台罕见病资产，Takeda 存在极强的溢价并购逻辑。</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Sanofi (赛诺菲)</w:t>
      </w:r>
      <w:r w:rsidDel="00000000" w:rsidR="00000000" w:rsidRPr="00000000">
        <w:rPr>
          <w:rFonts w:ascii="Google Sans" w:cs="Google Sans" w:eastAsia="Google Sans" w:hAnsi="Google Sans"/>
          <w:color w:val="1f1f1f"/>
          <w:rtl w:val="0"/>
        </w:rPr>
        <w:t xml:space="preserve">：Sanofi 此前曾通过 7500 万美元的预付款从 ABL Bio 引进了处于临床前阶段的 BBB 穿梭抗体 ABL301，暴露了其对该领域的极度饥渴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。作为 Denali 小分子 RIPK1 抑制剂（SAR443122）的合作方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，Sanofi 拥有雄厚的资本底气进行截胡收购。</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预估 Buyout Price 推演</w:t>
      </w:r>
      <w:r w:rsidDel="00000000" w:rsidR="00000000" w:rsidRPr="00000000">
        <w:rPr>
          <w:rFonts w:ascii="Google Sans" w:cs="Google Sans" w:eastAsia="Google Sans" w:hAnsi="Google Sans"/>
          <w:color w:val="1f1f1f"/>
          <w:rtl w:val="0"/>
        </w:rPr>
        <w:t xml:space="preserve">：按照目前 Denali 约 30-31 亿美元的市值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，考虑到其 TV 平台即将迎来的首次商业化盖章、丰富的后续罕见病梯队以及具有百亿美元潜力的帕金森/阿尔茨海默病期权价值，任何意图吞并 Denali 的 Big Pharma 都必须支付 80% 至 120% 的控制权溢价（Control Premium）。预估合理且能被机构股东接受的收购价格（Buyout Price）应在 </w:t>
      </w:r>
      <w:r w:rsidDel="00000000" w:rsidR="00000000" w:rsidRPr="00000000">
        <w:rPr>
          <w:rFonts w:ascii="Google Sans" w:cs="Google Sans" w:eastAsia="Google Sans" w:hAnsi="Google Sans"/>
          <w:b w:val="1"/>
          <w:bCs w:val="1"/>
          <w:color w:val="1f1f1f"/>
          <w:rtl w:val="0"/>
        </w:rPr>
        <w:t xml:space="preserve">60 亿至 75 亿美元</w:t>
      </w:r>
      <w:r w:rsidDel="00000000" w:rsidR="00000000" w:rsidRPr="00000000">
        <w:rPr>
          <w:rFonts w:ascii="Google Sans" w:cs="Google Sans" w:eastAsia="Google Sans" w:hAnsi="Google Sans"/>
          <w:color w:val="1f1f1f"/>
          <w:rtl w:val="0"/>
        </w:rPr>
        <w:t xml:space="preserve"> 之间（对应每股收购对价约为 </w:t>
      </w:r>
      <w:r w:rsidDel="00000000" w:rsidR="00000000" w:rsidRPr="00000000">
        <w:rPr>
          <w:rFonts w:ascii="Google Sans" w:cs="Google Sans" w:eastAsia="Google Sans" w:hAnsi="Google Sans"/>
          <w:b w:val="1"/>
          <w:bCs w:val="1"/>
          <w:color w:val="1f1f1f"/>
          <w:rtl w:val="0"/>
        </w:rPr>
        <w:t xml:space="preserve">$38 - $47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资金生死线：极其强悍的防弹资产负债表与定增风险排除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对于任何未实现盈利的 Biotech 而言，Burn Rate（烧钱速度）和 Cash Runway（资金生存期）是决定生死博弈的命门。若公司在数据读出前夜面临资金枯竭，通常会引发灾难性的折价定增砸盘（Dilution）。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 SEC 最新的 10-K 和 8-K 文件，Denali 在 2025 财年的现金消耗确实惊人。其全年总运营费用高达 5.55 亿美元，其中研发支出（R&amp;D）为 4.18 亿美元，一般及行政支出（G&amp;A）飙升至 1.36 亿美元（主要用于前置部署 DNL310 的庞大商业化团队和供应链基建），全年净亏损达到 5.12 亿美元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如果在常规情况下，这种每年烧掉 5 亿美元的节奏足以让二级市场散户闻风丧胆。但管理层在 2025 年 12 月的操作堪称教科书级别的资产负债表修复。截至 2025 年 12 月 31 日，公司账上拥有现金、现金等价物及有价证券共计 </w:t>
      </w:r>
      <w:r w:rsidDel="00000000" w:rsidR="00000000" w:rsidRPr="00000000">
        <w:rPr>
          <w:rFonts w:ascii="Google Sans" w:cs="Google Sans" w:eastAsia="Google Sans" w:hAnsi="Google Sans"/>
          <w:b w:val="1"/>
          <w:bCs w:val="1"/>
          <w:color w:val="1f1f1f"/>
          <w:rtl w:val="0"/>
        </w:rPr>
        <w:t xml:space="preserve">9.66 亿美元</w:t>
      </w:r>
      <w:r w:rsidDel="00000000" w:rsidR="00000000" w:rsidRPr="00000000">
        <w:rPr>
          <w:rFonts w:ascii="Google Sans" w:cs="Google Sans" w:eastAsia="Google Sans" w:hAnsi="Google Sans"/>
          <w:color w:val="1f1f1f"/>
          <w:rtl w:val="0"/>
        </w:rPr>
        <w:t xml:space="preserve">（得益于 2.75 亿美元的合成特许权融资及 2 亿美元的股权定增）</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冷酷的财务结论</w:t>
      </w:r>
      <w:r w:rsidDel="00000000" w:rsidR="00000000" w:rsidRPr="00000000">
        <w:rPr>
          <w:rFonts w:ascii="Google Sans" w:cs="Google Sans" w:eastAsia="Google Sans" w:hAnsi="Google Sans"/>
          <w:color w:val="1f1f1f"/>
          <w:rtl w:val="0"/>
        </w:rPr>
        <w:t xml:space="preserve">：基于目前 5 亿美元的年消耗率，Denali 的实际 Cash Runway 至少可以坚挺至 </w:t>
      </w:r>
      <w:r w:rsidDel="00000000" w:rsidR="00000000" w:rsidRPr="00000000">
        <w:rPr>
          <w:rFonts w:ascii="Google Sans" w:cs="Google Sans" w:eastAsia="Google Sans" w:hAnsi="Google Sans"/>
          <w:b w:val="1"/>
          <w:bCs w:val="1"/>
          <w:color w:val="1f1f1f"/>
          <w:rtl w:val="0"/>
        </w:rPr>
        <w:t xml:space="preserve">2027 年末至 2028 年初</w:t>
      </w:r>
      <w:r w:rsidDel="00000000" w:rsidR="00000000" w:rsidRPr="00000000">
        <w:rPr>
          <w:rFonts w:ascii="Google Sans" w:cs="Google Sans" w:eastAsia="Google Sans" w:hAnsi="Google Sans"/>
          <w:color w:val="1f1f1f"/>
          <w:rtl w:val="0"/>
        </w:rPr>
        <w:t xml:space="preserve">（1.8 至 2 年缓冲期）</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。这意味着，在 2026 年 4 月 DNL310 的 PDUFA 审判日，以及 2026 年中旬 BIIB122 (LUMA) 的核心数据公布期，Denali </w:t>
      </w:r>
      <w:r w:rsidDel="00000000" w:rsidR="00000000" w:rsidRPr="00000000">
        <w:rPr>
          <w:rFonts w:ascii="Google Sans" w:cs="Google Sans" w:eastAsia="Google Sans" w:hAnsi="Google Sans"/>
          <w:b w:val="1"/>
          <w:bCs w:val="1"/>
          <w:color w:val="1f1f1f"/>
          <w:rtl w:val="0"/>
        </w:rPr>
        <w:t xml:space="preserve">不存在任何紧迫的财务压力与短期定增吸血风险</w:t>
      </w:r>
      <w:r w:rsidDel="00000000" w:rsidR="00000000" w:rsidRPr="00000000">
        <w:rPr>
          <w:rFonts w:ascii="Google Sans" w:cs="Google Sans" w:eastAsia="Google Sans" w:hAnsi="Google Sans"/>
          <w:color w:val="1f1f1f"/>
          <w:rtl w:val="0"/>
        </w:rPr>
        <w:t xml:space="preserve">，管理层在与华尔街及并购方的博弈中握有绝对的主动权。</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股价复盘与华尔街 Sentiment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 52 周内，DNLI 的股价在 $10.57 至 $23.77 之间剧烈震荡，目前稳定在 $20 左右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。前期长达两年的低迷主要受限于宏观加息周期对高 R&amp;D 投入 Biotech 的无差别抛售，以及 ALS 管线（HEALEY 试验）未达终点等历史遗留挫折的影响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。然而，在过去一个季度中，市场情绪（Sentiment）发生了一百八十度的惊人逆转。</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一方面，DNL310 加速获批路径因 NEJM 顶级数据的发表而愈发清晰；另一方面，核心竞争对手 REGENXBIO 遭遇 FDA 拒批和临床暂停的黑天鹅事件，促使寻求避险与确定性的资金迅速回流并抢筹 DNLI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。目前华尔街投行对 Denali 的共识情绪处于极度亢奋状态。在覆盖该公司的约 25 位分析师中，平均目标价（Target Price）升至 </w:t>
      </w:r>
      <w:r w:rsidDel="00000000" w:rsidR="00000000" w:rsidRPr="00000000">
        <w:rPr>
          <w:rFonts w:ascii="Google Sans" w:cs="Google Sans" w:eastAsia="Google Sans" w:hAnsi="Google Sans"/>
          <w:b w:val="1"/>
          <w:bCs w:val="1"/>
          <w:color w:val="1f1f1f"/>
          <w:rtl w:val="0"/>
        </w:rPr>
        <w:t xml:space="preserve">$32.93 - $33.00</w:t>
      </w:r>
      <w:r w:rsidDel="00000000" w:rsidR="00000000" w:rsidRPr="00000000">
        <w:rPr>
          <w:rFonts w:ascii="Google Sans" w:cs="Google Sans" w:eastAsia="Google Sans" w:hAnsi="Google Sans"/>
          <w:color w:val="1f1f1f"/>
          <w:rtl w:val="0"/>
        </w:rPr>
        <w:t xml:space="preserve">，最高目标价达到 </w:t>
      </w:r>
      <w:r w:rsidDel="00000000" w:rsidR="00000000" w:rsidRPr="00000000">
        <w:rPr>
          <w:rFonts w:ascii="Google Sans" w:cs="Google Sans" w:eastAsia="Google Sans" w:hAnsi="Google Sans"/>
          <w:b w:val="1"/>
          <w:bCs w:val="1"/>
          <w:color w:val="1f1f1f"/>
          <w:rtl w:val="0"/>
        </w:rPr>
        <w:t xml:space="preserve">$40 - $42</w:t>
      </w:r>
      <w:r w:rsidDel="00000000" w:rsidR="00000000" w:rsidRPr="00000000">
        <w:rPr>
          <w:rFonts w:ascii="Google Sans" w:cs="Google Sans" w:eastAsia="Google Sans" w:hAnsi="Google Sans"/>
          <w:color w:val="1f1f1f"/>
          <w:rtl w:val="0"/>
        </w:rPr>
        <w:t xml:space="preserve">，近乎全员给出“强推买入/优于大市”（Strong Buy / Outperform）评级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。顶级投行如 BTIG 和 Jefferies 近期均发布报告上修目标价（分别为 $36 和 $40），核心投资逻辑均锚定于：DNL310 在 4 月份获批具有极高概率（70%-80% PoS），这一事件将引发资本市场对整个 TV 平台（涵盖 MPS IIIA, Pompe, 甚至 AD 淀粉样蛋白/Tau 管线）价值重估与全盘去风险化（De-risking）的戴维斯双击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估值重构：大模型独立 rNPV Target Price 推导</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摒弃华尔街分析师研报中经常掺杂的短期情绪溢价，我们采用极其冷酷且严苛的风险调整净现值（rNPV）模型结合分部求和（SOTP）方法，重新独立推导 DNLI 的公允内在价值。</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模型核心输入与假设：</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贴现率 (Discount Rate / WACC)</w:t>
      </w:r>
      <w:r w:rsidDel="00000000" w:rsidR="00000000" w:rsidRPr="00000000">
        <w:rPr>
          <w:rFonts w:ascii="Google Sans" w:cs="Google Sans" w:eastAsia="Google Sans" w:hAnsi="Google Sans"/>
          <w:color w:val="1f1f1f"/>
          <w:rtl w:val="0"/>
        </w:rPr>
        <w:t xml:space="preserve">：由于临床开发失败本质上属于不可分散的非系统性风险（Non-Systematic Risk），理论上不应通过提高贴现率进行双重惩罚。基于标准 CAPM 模型并结合当前宏观无风险利率与生物制药行业 Beta 中位数值，设定基准贴现率为 </w:t>
      </w:r>
      <w:r w:rsidDel="00000000" w:rsidR="00000000" w:rsidRPr="00000000">
        <w:rPr>
          <w:rFonts w:ascii="Google Sans" w:cs="Google Sans" w:eastAsia="Google Sans" w:hAnsi="Google Sans"/>
          <w:b w:val="1"/>
          <w:bCs w:val="1"/>
          <w:color w:val="1f1f1f"/>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DNL310 (MPS II) 模块估值</w:t>
      </w:r>
      <w:r w:rsidDel="00000000" w:rsidR="00000000" w:rsidRPr="00000000">
        <w:rPr>
          <w:rFonts w:ascii="Google Sans" w:cs="Google Sans" w:eastAsia="Google Sans" w:hAnsi="Google Sans"/>
          <w:color w:val="1f1f1f"/>
          <w:rtl w:val="0"/>
        </w:rPr>
        <w:t xml:space="preserve">：目标 TAM 约 2000 人。假设商业化成熟后巅峰市场渗透率为 45%（全面取代具有神经病变特征患者的 Elaprase 份额），基于 40 万美元/年的孤儿药保守净定价，巅峰销售额（Peak Sales）预估为 3.6 亿美元。鉴于竞争对手的退场和 FDA 优先审查地位，给予其成功获批及商业化的客观概率（PoS）为 </w:t>
      </w:r>
      <w:r w:rsidDel="00000000" w:rsidR="00000000" w:rsidRPr="00000000">
        <w:rPr>
          <w:rFonts w:ascii="Google Sans" w:cs="Google Sans" w:eastAsia="Google Sans" w:hAnsi="Google Sans"/>
          <w:b w:val="1"/>
          <w:bCs w:val="1"/>
          <w:color w:val="1f1f1f"/>
          <w:rtl w:val="0"/>
        </w:rPr>
        <w:t xml:space="preserve">85%</w:t>
      </w:r>
      <w:r w:rsidDel="00000000" w:rsidR="00000000" w:rsidRPr="00000000">
        <w:rPr>
          <w:rFonts w:ascii="Google Sans" w:cs="Google Sans" w:eastAsia="Google Sans" w:hAnsi="Google Sans"/>
          <w:color w:val="1f1f1f"/>
          <w:rtl w:val="0"/>
        </w:rPr>
        <w:t xml:space="preserve">。经贴现与 PoS 调整后，该单一首发资产的 rNPV 贡献约为 </w:t>
      </w:r>
      <w:r w:rsidDel="00000000" w:rsidR="00000000" w:rsidRPr="00000000">
        <w:rPr>
          <w:rFonts w:ascii="Google Sans" w:cs="Google Sans" w:eastAsia="Google Sans" w:hAnsi="Google Sans"/>
          <w:b w:val="1"/>
          <w:bCs w:val="1"/>
          <w:color w:val="1f1f1f"/>
          <w:rtl w:val="0"/>
        </w:rPr>
        <w:t xml:space="preserve">$9.00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DNL126 (MPS IIIA) &amp; DNL952 等罕见病集群</w:t>
      </w:r>
      <w:r w:rsidDel="00000000" w:rsidR="00000000" w:rsidRPr="00000000">
        <w:rPr>
          <w:rFonts w:ascii="Google Sans" w:cs="Google Sans" w:eastAsia="Google Sans" w:hAnsi="Google Sans"/>
          <w:color w:val="1f1f1f"/>
          <w:rtl w:val="0"/>
        </w:rPr>
        <w:t xml:space="preserve">：DNL126 已经展示出极强的概念验证（80% CSF HS 下降）</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。假设该 ETV 平台衍生的其他罕见病管线累计巅峰销售额为 6 亿美元，综合 PoS 设定为 45%（尚需确证性数据支持）。该集群贡献价值约为 </w:t>
      </w:r>
      <w:r w:rsidDel="00000000" w:rsidR="00000000" w:rsidRPr="00000000">
        <w:rPr>
          <w:rFonts w:ascii="Google Sans" w:cs="Google Sans" w:eastAsia="Google Sans" w:hAnsi="Google Sans"/>
          <w:b w:val="1"/>
          <w:bCs w:val="1"/>
          <w:color w:val="1f1f1f"/>
          <w:rtl w:val="0"/>
        </w:rPr>
        <w:t xml:space="preserve">$7.50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BIIB122 (帕金森病 LRRK2) 模块</w:t>
      </w:r>
      <w:r w:rsidDel="00000000" w:rsidR="00000000" w:rsidRPr="00000000">
        <w:rPr>
          <w:rFonts w:ascii="Google Sans" w:cs="Google Sans" w:eastAsia="Google Sans" w:hAnsi="Google Sans"/>
          <w:color w:val="1f1f1f"/>
          <w:rtl w:val="0"/>
        </w:rPr>
        <w:t xml:space="preserve">：PD 的宏观 TAM 极大，但由于靶点特异性，受限于 LRRK2 突变携带者的真实比例及向非突变特发性患者外推疗效的极大不确定性，保守估计归属 Denali 的分层巅峰销售额约为 12 亿美元。鉴于 CNS 疾病极高的 Phase 2/3 失败率以及该试验颇具风险的“恶化时间”生存分析终点，给予极严苛的 PoS </w:t>
      </w:r>
      <w:r w:rsidDel="00000000" w:rsidR="00000000" w:rsidRPr="00000000">
        <w:rPr>
          <w:rFonts w:ascii="Google Sans" w:cs="Google Sans" w:eastAsia="Google Sans" w:hAnsi="Google Sans"/>
          <w:b w:val="1"/>
          <w:bCs w:val="1"/>
          <w:color w:val="1f1f1f"/>
          <w:rtl w:val="0"/>
        </w:rPr>
        <w:t xml:space="preserve">15%</w:t>
      </w:r>
      <w:r w:rsidDel="00000000" w:rsidR="00000000" w:rsidRPr="00000000">
        <w:rPr>
          <w:rFonts w:ascii="Google Sans" w:cs="Google Sans" w:eastAsia="Google Sans" w:hAnsi="Google Sans"/>
          <w:color w:val="1f1f1f"/>
          <w:rtl w:val="0"/>
        </w:rPr>
        <w:t xml:space="preserve">。该高风险/高回报管线的期权价值（Option Value）贡献约为 </w:t>
      </w:r>
      <w:r w:rsidDel="00000000" w:rsidR="00000000" w:rsidRPr="00000000">
        <w:rPr>
          <w:rFonts w:ascii="Google Sans" w:cs="Google Sans" w:eastAsia="Google Sans" w:hAnsi="Google Sans"/>
          <w:b w:val="1"/>
          <w:bCs w:val="1"/>
          <w:color w:val="1f1f1f"/>
          <w:rtl w:val="0"/>
        </w:rPr>
        <w:t xml:space="preserve">$4.50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平台底座期权价值与净现金</w:t>
      </w:r>
      <w:r w:rsidDel="00000000" w:rsidR="00000000" w:rsidRPr="00000000">
        <w:rPr>
          <w:rFonts w:ascii="Google Sans" w:cs="Google Sans" w:eastAsia="Google Sans" w:hAnsi="Google Sans"/>
          <w:color w:val="1f1f1f"/>
          <w:rtl w:val="0"/>
        </w:rPr>
        <w:t xml:space="preserve">：高达 9.66 亿美元的充沛现金储备及等价物在扣除短期负债后，硬性贡献约 </w:t>
      </w:r>
      <w:r w:rsidDel="00000000" w:rsidR="00000000" w:rsidRPr="00000000">
        <w:rPr>
          <w:rFonts w:ascii="Google Sans" w:cs="Google Sans" w:eastAsia="Google Sans" w:hAnsi="Google Sans"/>
          <w:b w:val="1"/>
          <w:bCs w:val="1"/>
          <w:color w:val="1f1f1f"/>
          <w:rtl w:val="0"/>
        </w:rPr>
        <w:t xml:space="preserve">$5.50 / 股</w:t>
      </w:r>
      <w:r w:rsidDel="00000000" w:rsidR="00000000" w:rsidRPr="00000000">
        <w:rPr>
          <w:rFonts w:ascii="Google Sans" w:cs="Google Sans" w:eastAsia="Google Sans" w:hAnsi="Google Sans"/>
          <w:color w:val="1f1f1f"/>
          <w:rtl w:val="0"/>
        </w:rPr>
        <w:t xml:space="preserve">。此外，作为一种经过 FDA 验证且可高度延展至抗体（ATV）与寡核苷酸（OTV）递送的底层基础设施，TV 平台未来对外授权（Out-licensing）的净资产底座溢价预估贡献约 </w:t>
      </w:r>
      <w:r w:rsidDel="00000000" w:rsidR="00000000" w:rsidRPr="00000000">
        <w:rPr>
          <w:rFonts w:ascii="Google Sans" w:cs="Google Sans" w:eastAsia="Google Sans" w:hAnsi="Google Sans"/>
          <w:b w:val="1"/>
          <w:bCs w:val="1"/>
          <w:color w:val="1f1f1f"/>
          <w:rtl w:val="0"/>
        </w:rPr>
        <w:t xml:space="preserve">$5.00 / 股</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独立目标价推导结论</w:t>
      </w:r>
      <w:r w:rsidDel="00000000" w:rsidR="00000000" w:rsidRPr="00000000">
        <w:rPr>
          <w:rFonts w:ascii="Google Sans" w:cs="Google Sans" w:eastAsia="Google Sans" w:hAnsi="Google Sans"/>
          <w:color w:val="1f1f1f"/>
          <w:rtl w:val="0"/>
        </w:rPr>
        <w:t xml:space="preserve">：将上述 SOTP 模块加总 ($9.0 + $7.5 + $4.5 + $5.5 + $5.0)，得出的独立预测公允目标价（Target Price）为 </w:t>
      </w:r>
      <w:r w:rsidDel="00000000" w:rsidR="00000000" w:rsidRPr="00000000">
        <w:rPr>
          <w:rFonts w:ascii="Google Sans" w:cs="Google Sans" w:eastAsia="Google Sans" w:hAnsi="Google Sans"/>
          <w:b w:val="1"/>
          <w:bCs w:val="1"/>
          <w:color w:val="1f1f1f"/>
          <w:rtl w:val="0"/>
        </w:rPr>
        <w:t xml:space="preserve">$31.50</w:t>
      </w:r>
      <w:r w:rsidDel="00000000" w:rsidR="00000000" w:rsidRPr="00000000">
        <w:rPr>
          <w:rFonts w:ascii="Google Sans" w:cs="Google Sans" w:eastAsia="Google Sans" w:hAnsi="Google Sans"/>
          <w:color w:val="1f1f1f"/>
          <w:rtl w:val="0"/>
        </w:rPr>
        <w:t xml:space="preserve">。相对于目前 $20 左右的现价，这表明市场定价存在明显的信息差，该标的具备超过 </w:t>
      </w:r>
      <w:r w:rsidDel="00000000" w:rsidR="00000000" w:rsidRPr="00000000">
        <w:rPr>
          <w:rFonts w:ascii="Google Sans" w:cs="Google Sans" w:eastAsia="Google Sans" w:hAnsi="Google Sans"/>
          <w:b w:val="1"/>
          <w:bCs w:val="1"/>
          <w:color w:val="1f1f1f"/>
          <w:rtl w:val="0"/>
        </w:rPr>
        <w:t xml:space="preserve">50% 的硬核上行空间</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生死局总结：严重低估的平台型基建</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判决结果：当前约 31 亿美元的市值被市场</w:t>
      </w:r>
      <w:r w:rsidDel="00000000" w:rsidR="00000000" w:rsidRPr="00000000">
        <w:rPr>
          <w:rFonts w:ascii="Google Sans" w:cs="Google Sans" w:eastAsia="Google Sans" w:hAnsi="Google Sans"/>
          <w:b w:val="1"/>
          <w:bCs w:val="1"/>
          <w:color w:val="1f1f1f"/>
          <w:rtl w:val="0"/>
        </w:rPr>
        <w:t xml:space="preserve">严重低估</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华尔街和散户资金目前犯下的最大定价错误在于：依然用传统的“单一罕见病管线 Biotech”的眼光在给 Denali 估值，仅仅将其视为一家卖 Hunter 综合征药物的公司；而没有从底层逻辑上认识到，一旦 DNL310 在 4 月份获批，这将是**“人类历史上首个真正意义上系统性解决血脑屏障大分子递送难题的通用底座（Platform）的商业化验证”**。</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从科学底层来看，DNL310 的数据在机制上已经完成了无可辩驳的自我证明；从监管层面来看，主要竞争对手的毁灭性失误不仅没有牵连 Denali，反而凸显了 Denali 在低亲和力平台设计和对照试验布局上的前瞻与严谨；从财务健康度来看，手握近 10 亿美元现金的 Denali 犹如一座弹药充足的堡垒，在应对 2026 年诸多催化剂时处于进可攻（强势 Launch）、退可守（抗击做空）的绝对主动地位。</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牛市假设 (Bull Case)：一战封神，逼空与狂热的并购竞价</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核心催化剂</w:t>
      </w:r>
      <w:r w:rsidDel="00000000" w:rsidR="00000000" w:rsidRPr="00000000">
        <w:rPr>
          <w:rFonts w:ascii="Google Sans" w:cs="Google Sans" w:eastAsia="Google Sans" w:hAnsi="Google Sans"/>
          <w:color w:val="1f1f1f"/>
          <w:rtl w:val="0"/>
        </w:rPr>
        <w:t xml:space="preserve">：2026 年 4 月 5 日，FDA 不仅如期加速批准 DNL310，且鉴于其优异的安全数据，在药品标签（Label）中未加入任何关于脱靶毒性或网织红细胞清除的黑框警告。随后在 2026 年中旬，BIIB122 的 LUMA 试验读取出惊艳的阳性数据，在 Kaplan-Meier 曲线中证实了显著延缓 PD 进展的时间差异。</w:t>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：TV 平台被彻底证明无懈可击，可无缝扩展至所有 CNS 大病种（涵盖小分子、核酸与单抗）。华尔街投行将连夜重估模型，将所有管线的 PoS 上调至 50% 以上，逼空资金大量涌入。Biogen 或 Takeda 出于战略恐慌与防守目的，被迫发起敌意或友好的邀约收购。</w:t>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目标位</w:t>
      </w:r>
      <w:r w:rsidDel="00000000" w:rsidR="00000000" w:rsidRPr="00000000">
        <w:rPr>
          <w:rFonts w:ascii="Google Sans" w:cs="Google Sans" w:eastAsia="Google Sans" w:hAnsi="Google Sans"/>
          <w:color w:val="1f1f1f"/>
          <w:rtl w:val="0"/>
        </w:rPr>
        <w:t xml:space="preserve">：股价将以跳空缺口的方式迅速突破历史前高，直指 </w:t>
      </w:r>
      <w:r w:rsidDel="00000000" w:rsidR="00000000" w:rsidRPr="00000000">
        <w:rPr>
          <w:rFonts w:ascii="Google Sans" w:cs="Google Sans" w:eastAsia="Google Sans" w:hAnsi="Google Sans"/>
          <w:b w:val="1"/>
          <w:bCs w:val="1"/>
          <w:color w:val="1f1f1f"/>
          <w:rtl w:val="0"/>
        </w:rPr>
        <w:t xml:space="preserve">$45 - $55</w:t>
      </w:r>
      <w:r w:rsidDel="00000000" w:rsidR="00000000" w:rsidRPr="00000000">
        <w:rPr>
          <w:rFonts w:ascii="Google Sans" w:cs="Google Sans" w:eastAsia="Google Sans" w:hAnsi="Google Sans"/>
          <w:color w:val="1f1f1f"/>
          <w:rtl w:val="0"/>
        </w:rPr>
        <w:t xml:space="preserve"> 区间，对应企业估值冲击 70 亿至 80 亿美元的并购成交大关。</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熊市假设 (Bear Case)：监管黑天鹅与量表反噬下的信心崩塌</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核心催化剂</w:t>
      </w:r>
      <w:r w:rsidDel="00000000" w:rsidR="00000000" w:rsidRPr="00000000">
        <w:rPr>
          <w:rFonts w:ascii="Google Sans" w:cs="Google Sans" w:eastAsia="Google Sans" w:hAnsi="Google Sans"/>
          <w:color w:val="1f1f1f"/>
          <w:rtl w:val="0"/>
        </w:rPr>
        <w:t xml:space="preserve">：尽管 CSF HS 生物标志物极其出色，但 FDA 核心审查团队在 4 月份突然转性，由于 COMPASS 试验中 Vineland-3 临床量表数据陷入“地板效应”未能展现出具有统计学说服力的功能改善，或出于对全新大分子递送技术潜在长期未知风险的极度保守态度，拒绝加速批准，并要求公司补充提供长达 1-2 年的完整 Phase 3 临床随访确证数据。祸不单行，BIIB122 的 LUMA 试验因事件发生率不足，未能达到“时间恶化延迟”的统计学显著性（p &gt; 0.05）。</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推演结果</w:t>
      </w:r>
      <w:r w:rsidDel="00000000" w:rsidR="00000000" w:rsidRPr="00000000">
        <w:rPr>
          <w:rFonts w:ascii="Google Sans" w:cs="Google Sans" w:eastAsia="Google Sans" w:hAnsi="Google Sans"/>
          <w:color w:val="1f1f1f"/>
          <w:rtl w:val="0"/>
        </w:rPr>
        <w:t xml:space="preserve">：这记双重重拳将彻底摧毁长线机构对 TV 平台的信仰。华尔街分析师将无差别下调所有 TV 驱动管线的估值预期。尽管公司现金极其充裕（能烧到 2028 年），但 Denali 会被市场重新定价为一家“遥遥无期且深陷烧钱泥潭的早期研发机构”。</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底线在哪</w:t>
      </w:r>
      <w:r w:rsidDel="00000000" w:rsidR="00000000" w:rsidRPr="00000000">
        <w:rPr>
          <w:rFonts w:ascii="Google Sans" w:cs="Google Sans" w:eastAsia="Google Sans" w:hAnsi="Google Sans"/>
          <w:color w:val="1f1f1f"/>
          <w:rtl w:val="0"/>
        </w:rPr>
        <w:t xml:space="preserve">：面对机构去杠杆和散户踩踏，股价将遭到血洗，其底线将退守至公司账面现金净值与平台清算价值附近。预计股价将暴跌至 </w:t>
      </w:r>
      <w:r w:rsidDel="00000000" w:rsidR="00000000" w:rsidRPr="00000000">
        <w:rPr>
          <w:rFonts w:ascii="Google Sans" w:cs="Google Sans" w:eastAsia="Google Sans" w:hAnsi="Google Sans"/>
          <w:b w:val="1"/>
          <w:bCs w:val="1"/>
          <w:color w:val="1f1f1f"/>
          <w:rtl w:val="0"/>
        </w:rPr>
        <w:t xml:space="preserve">$10 - $12</w:t>
      </w:r>
      <w:r w:rsidDel="00000000" w:rsidR="00000000" w:rsidRPr="00000000">
        <w:rPr>
          <w:rFonts w:ascii="Google Sans" w:cs="Google Sans" w:eastAsia="Google Sans" w:hAnsi="Google Sans"/>
          <w:color w:val="1f1f1f"/>
          <w:rtl w:val="0"/>
        </w:rPr>
        <w:t xml:space="preserve"> 区间（对应 Enterprise Value 几乎被清零，完全沦为现金壳公司）。</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投资终局裁定</w:t>
      </w:r>
      <w:r w:rsidDel="00000000" w:rsidR="00000000" w:rsidRPr="00000000">
        <w:rPr>
          <w:rFonts w:ascii="Google Sans" w:cs="Google Sans" w:eastAsia="Google Sans" w:hAnsi="Google Sans"/>
          <w:color w:val="1f1f1f"/>
          <w:rtl w:val="0"/>
        </w:rPr>
        <w:t xml:space="preserve">：这是一场赔率极度诱人、胜率显著偏向多头的非对称博弈。Denali Therapeutics 拥有最高级别的管理层、最硬核的科学数据支撑、竞争对手的意外“助攻”以及最无懈可击的资产负债表。在 2026 财年的前线战场上，它不仅仅是一家试图攻克罕见病的商业公司，更是手握打开人类彻底征服中枢神经系统疾病大门钥匙的执剑人。对于风险承受能力匹配的量化资金与基本面投资者而言，此时正是重仓布局这一历史性拐点的绝佳窗口。</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Ex-Genentech dream team garners $217M to launch neurodegenerative player Denali | Fierce Biotech, accessed March 7, 2026, </w:t>
      </w:r>
      <w:hyperlink r:id="rId6">
        <w:r w:rsidDel="00000000" w:rsidR="00000000" w:rsidRPr="00000000">
          <w:rPr>
            <w:rFonts w:ascii="Google Sans" w:cs="Google Sans" w:eastAsia="Google Sans" w:hAnsi="Google Sans"/>
            <w:color w:val="0000ee"/>
            <w:sz w:val="24"/>
            <w:szCs w:val="24"/>
            <w:u w:val="single"/>
            <w:rtl w:val="0"/>
          </w:rPr>
          <w:t xml:space="preserve">https://www.fiercebiotech.com/biotech/updated-ex-genentech-dream-team-garners-217m-to-launch-neurodegenerative-player-denali</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S-1 - SEC.gov, accessed March 7, 2026, </w:t>
      </w:r>
      <w:hyperlink r:id="rId7">
        <w:r w:rsidDel="00000000" w:rsidR="00000000" w:rsidRPr="00000000">
          <w:rPr>
            <w:rFonts w:ascii="Google Sans" w:cs="Google Sans" w:eastAsia="Google Sans" w:hAnsi="Google Sans"/>
            <w:color w:val="0000ee"/>
            <w:sz w:val="24"/>
            <w:szCs w:val="24"/>
            <w:u w:val="single"/>
            <w:rtl w:val="0"/>
          </w:rPr>
          <w:t xml:space="preserve">https://www.sec.gov/Archives/edgar/data/1714899/000119312517340997/d445892ds1.htm</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Ryan Watts, Ph.D. - Denali Therapeutics, accessed March 7, 2026, </w:t>
      </w:r>
      <w:hyperlink r:id="rId8">
        <w:r w:rsidDel="00000000" w:rsidR="00000000" w:rsidRPr="00000000">
          <w:rPr>
            <w:rFonts w:ascii="Google Sans" w:cs="Google Sans" w:eastAsia="Google Sans" w:hAnsi="Google Sans"/>
            <w:color w:val="0000ee"/>
            <w:sz w:val="24"/>
            <w:szCs w:val="24"/>
            <w:u w:val="single"/>
            <w:rtl w:val="0"/>
          </w:rPr>
          <w:t xml:space="preserve">https://www.denalitherapeutics.com/team/ryan-watts/</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Ryan Watts, BS'00 - School of Biological Sciences, accessed March 7, 2026, </w:t>
      </w:r>
      <w:hyperlink r:id="rId9">
        <w:r w:rsidDel="00000000" w:rsidR="00000000" w:rsidRPr="00000000">
          <w:rPr>
            <w:rFonts w:ascii="Google Sans" w:cs="Google Sans" w:eastAsia="Google Sans" w:hAnsi="Google Sans"/>
            <w:color w:val="0000ee"/>
            <w:sz w:val="24"/>
            <w:szCs w:val="24"/>
            <w:u w:val="single"/>
            <w:rtl w:val="0"/>
          </w:rPr>
          <w:t xml:space="preserve">https://www.biology.utah.edu/alumni/ryan-watts-bs00/</w:t>
        </w:r>
      </w:hyperlink>
      <w:r w:rsidDel="00000000" w:rsidR="00000000" w:rsidRPr="00000000">
        <w:rPr>
          <w:rtl w:val="0"/>
        </w:rPr>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Former Genentech Researchers Launch Neuroscience Company Denali Therapeutics With $217 Million - BioSpace, accessed March 7, 2026, </w:t>
      </w:r>
      <w:hyperlink r:id="rId10">
        <w:r w:rsidDel="00000000" w:rsidR="00000000" w:rsidRPr="00000000">
          <w:rPr>
            <w:rFonts w:ascii="Google Sans" w:cs="Google Sans" w:eastAsia="Google Sans" w:hAnsi="Google Sans"/>
            <w:color w:val="0000ee"/>
            <w:sz w:val="24"/>
            <w:szCs w:val="24"/>
            <w:u w:val="single"/>
            <w:rtl w:val="0"/>
          </w:rPr>
          <w:t xml:space="preserve">https://www.biospace.com/three-former-genentech-researchers-launch-neuroscience-company-b-denali-therapeutics-b-with-217-million</w:t>
        </w:r>
      </w:hyperlink>
      <w:r w:rsidDel="00000000" w:rsidR="00000000" w:rsidRPr="00000000">
        <w:rPr>
          <w:rtl w:val="0"/>
        </w:rPr>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Key Anticipated Milestones and Priorities for 2026 Including Commercial Launch of Tividenofusp Alfa for Hunter Syndrome, accessed March 7, 2026, </w:t>
      </w:r>
      <w:hyperlink r:id="rId11">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https://investors.denalitherapeutics.com/news-releases/news-release-details/denali-therapeutics-announces-key-anticipated-milestones-and</w:t>
        </w:r>
      </w:hyperlink>
      <w:r w:rsidDel="00000000" w:rsidR="00000000" w:rsidRPr="00000000">
        <w:rPr>
          <w:rtl w:val="0"/>
        </w:rPr>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Board and Executive Leadership Updates, accessed March 7, 2026, </w:t>
      </w:r>
      <w:hyperlink r:id="rId12">
        <w:r w:rsidDel="00000000" w:rsidR="00000000" w:rsidRPr="00000000">
          <w:rPr>
            <w:rFonts w:ascii="Google Sans" w:cs="Google Sans" w:eastAsia="Google Sans" w:hAnsi="Google Sans"/>
            <w:color w:val="0000ee"/>
            <w:sz w:val="24"/>
            <w:szCs w:val="24"/>
            <w:u w:val="single"/>
            <w:rtl w:val="0"/>
          </w:rPr>
          <w:t xml:space="preserve">https://www.globenewswire.com/news-release/2025/11/06/3183032/0/en/Denali-Therapeutics-Announces-Board-and-Executive-Leadership-Updates.html</w:t>
        </w:r>
      </w:hyperlink>
      <w:r w:rsidDel="00000000" w:rsidR="00000000" w:rsidRPr="00000000">
        <w:rPr>
          <w:rtl w:val="0"/>
        </w:rPr>
      </w:r>
    </w:p>
    <w:p w:rsidR="00000000" w:rsidDel="00000000" w:rsidP="00000000" w:rsidRDefault="00000000" w:rsidRPr="00000000" w14:paraId="0000008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board and leadership changes - Investing.com, accessed March 7, 2026, </w:t>
      </w:r>
      <w:hyperlink r:id="rId13">
        <w:r w:rsidDel="00000000" w:rsidR="00000000" w:rsidRPr="00000000">
          <w:rPr>
            <w:rFonts w:ascii="Google Sans" w:cs="Google Sans" w:eastAsia="Google Sans" w:hAnsi="Google Sans"/>
            <w:color w:val="0000ee"/>
            <w:sz w:val="24"/>
            <w:szCs w:val="24"/>
            <w:u w:val="single"/>
            <w:rtl w:val="0"/>
          </w:rPr>
          <w:t xml:space="preserve">https://www.investing.com/news/company-news/denali-therapeutics-announces-board-and-leadership-changes-93CH-4339958</w:t>
        </w:r>
      </w:hyperlink>
      <w:r w:rsidDel="00000000" w:rsidR="00000000" w:rsidRPr="00000000">
        <w:rPr>
          <w:rtl w:val="0"/>
        </w:rPr>
      </w:r>
    </w:p>
    <w:p w:rsidR="00000000" w:rsidDel="00000000" w:rsidP="00000000" w:rsidRDefault="00000000" w:rsidRPr="00000000" w14:paraId="0000008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Board and Executive Leadership Updates, accessed March 7, 2026, </w:t>
      </w:r>
      <w:hyperlink r:id="rId14">
        <w:r w:rsidDel="00000000" w:rsidR="00000000" w:rsidRPr="00000000">
          <w:rPr>
            <w:rFonts w:ascii="Google Sans" w:cs="Google Sans" w:eastAsia="Google Sans" w:hAnsi="Google Sans"/>
            <w:color w:val="0000ee"/>
            <w:sz w:val="24"/>
            <w:szCs w:val="24"/>
            <w:u w:val="single"/>
            <w:rtl w:val="0"/>
          </w:rPr>
          <w:t xml:space="preserve">https://investors.denalitherapeutics.com/node/11316/pdf</w:t>
        </w:r>
      </w:hyperlink>
      <w:r w:rsidDel="00000000" w:rsidR="00000000" w:rsidRPr="00000000">
        <w:rPr>
          <w:rtl w:val="0"/>
        </w:rPr>
      </w:r>
    </w:p>
    <w:p w:rsidR="00000000" w:rsidDel="00000000" w:rsidP="00000000" w:rsidRDefault="00000000" w:rsidRPr="00000000" w14:paraId="0000008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Reports Fourth Quarter and Full Year 2025 Financial Results and Business Highlights, accessed March 7, 2026, </w:t>
      </w:r>
      <w:hyperlink r:id="rId15">
        <w:r w:rsidDel="00000000" w:rsidR="00000000" w:rsidRPr="00000000">
          <w:rPr>
            <w:rFonts w:ascii="Google Sans" w:cs="Google Sans" w:eastAsia="Google Sans" w:hAnsi="Google Sans"/>
            <w:color w:val="0000ee"/>
            <w:sz w:val="24"/>
            <w:szCs w:val="24"/>
            <w:u w:val="single"/>
            <w:rtl w:val="0"/>
          </w:rPr>
          <w:t xml:space="preserve">https://investors.denalitherapeutics.com/node/11566/pdf</w:t>
        </w:r>
      </w:hyperlink>
      <w:r w:rsidDel="00000000" w:rsidR="00000000" w:rsidRPr="00000000">
        <w:rPr>
          <w:rtl w:val="0"/>
        </w:rPr>
      </w:r>
    </w:p>
    <w:p w:rsidR="00000000" w:rsidDel="00000000" w:rsidP="00000000" w:rsidRDefault="00000000" w:rsidRPr="00000000" w14:paraId="0000008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Reports Fourth Quarter and Full Year 2025 Financial Results and Business Highlights, accessed March 7, 2026, </w:t>
      </w:r>
      <w:hyperlink r:id="rId16">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https://investors.denalitherapeutics.com/news-releases/news-release-details/denali-therapeutics-reports-fourth-quarter-and-full-year-2025</w:t>
        </w:r>
      </w:hyperlink>
      <w:r w:rsidDel="00000000" w:rsidR="00000000" w:rsidRPr="00000000">
        <w:rPr>
          <w:rtl w:val="0"/>
        </w:rPr>
      </w:r>
    </w:p>
    <w:p w:rsidR="00000000" w:rsidDel="00000000" w:rsidP="00000000" w:rsidRDefault="00000000" w:rsidRPr="00000000" w14:paraId="0000009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(DNLI) widens 2025 loss but fortifies cash for key 2026 drug milestones, accessed March 7, 2026, </w:t>
      </w:r>
      <w:hyperlink r:id="rId17">
        <w:r w:rsidDel="00000000" w:rsidR="00000000" w:rsidRPr="00000000">
          <w:rPr>
            <w:rFonts w:ascii="Google Sans" w:cs="Google Sans" w:eastAsia="Google Sans" w:hAnsi="Google Sans"/>
            <w:color w:val="0000ee"/>
            <w:sz w:val="24"/>
            <w:szCs w:val="24"/>
            <w:u w:val="single"/>
            <w:rtl w:val="0"/>
          </w:rPr>
          <w:t xml:space="preserve">https://www.stocktitan.net/sec-filings/DNLI/8-k-denali-therapeutics-inc-reports-material-event-e33c479979e4.html</w:t>
        </w:r>
      </w:hyperlink>
      <w:r w:rsidDel="00000000" w:rsidR="00000000" w:rsidRPr="00000000">
        <w:rPr>
          <w:rtl w:val="0"/>
        </w:rPr>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Breaching The Fortress: The New Wave of Companies Cracking The Blood Brain Barrier - Beacon Intelligence, accessed March 7, 2026, </w:t>
      </w:r>
      <w:hyperlink r:id="rId18">
        <w:r w:rsidDel="00000000" w:rsidR="00000000" w:rsidRPr="00000000">
          <w:rPr>
            <w:rFonts w:ascii="Google Sans" w:cs="Google Sans" w:eastAsia="Google Sans" w:hAnsi="Google Sans"/>
            <w:color w:val="0000ee"/>
            <w:sz w:val="24"/>
            <w:szCs w:val="24"/>
            <w:u w:val="single"/>
            <w:rtl w:val="0"/>
          </w:rPr>
          <w:t xml:space="preserve">https://beacon-intelligence.com/blog/breaching-the-fortress-the-new-wave-of-companies-cracking-the-blood-brain-barrier/</w:t>
        </w:r>
      </w:hyperlink>
      <w:r w:rsidDel="00000000" w:rsidR="00000000" w:rsidRPr="00000000">
        <w:rPr>
          <w:rtl w:val="0"/>
        </w:rPr>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 could be on the cusp of finally breaking the blood-brain barrier | PharmaVoice, accessed March 7, 2026, </w:t>
      </w:r>
      <w:hyperlink r:id="rId19">
        <w:r w:rsidDel="00000000" w:rsidR="00000000" w:rsidRPr="00000000">
          <w:rPr>
            <w:rFonts w:ascii="Google Sans" w:cs="Google Sans" w:eastAsia="Google Sans" w:hAnsi="Google Sans"/>
            <w:color w:val="0000ee"/>
            <w:sz w:val="24"/>
            <w:szCs w:val="24"/>
            <w:u w:val="single"/>
            <w:rtl w:val="0"/>
          </w:rPr>
          <w:t xml:space="preserve">https://www.pharmavoice.com/news/blood-brain-barrier-pharma-cusp-denali-roche/812356/</w:t>
        </w:r>
      </w:hyperlink>
      <w:r w:rsidDel="00000000" w:rsidR="00000000" w:rsidRPr="00000000">
        <w:rPr>
          <w:rtl w:val="0"/>
        </w:rPr>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promising biotech approaches to treat Hunter syndrome, a rare genetic disorder, accessed March 7, 2026, </w:t>
      </w:r>
      <w:hyperlink r:id="rId20">
        <w:r w:rsidDel="00000000" w:rsidR="00000000" w:rsidRPr="00000000">
          <w:rPr>
            <w:rFonts w:ascii="Google Sans" w:cs="Google Sans" w:eastAsia="Google Sans" w:hAnsi="Google Sans"/>
            <w:color w:val="0000ee"/>
            <w:sz w:val="24"/>
            <w:szCs w:val="24"/>
            <w:u w:val="single"/>
            <w:rtl w:val="0"/>
          </w:rPr>
          <w:t xml:space="preserve">https://www.labiotech.eu/best-biotech/hunter-syndrome-treatment-approaches/</w:t>
        </w:r>
      </w:hyperlink>
      <w:r w:rsidDel="00000000" w:rsidR="00000000" w:rsidRPr="00000000">
        <w:rPr>
          <w:rtl w:val="0"/>
        </w:rPr>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Balancing brain exposure, pharmacokinetics and safety of transferrin receptor antibodies for delivery of neuro-therapeutics - Taylor &amp; Francis, accessed March 7, 2026, </w:t>
      </w:r>
      <w:hyperlink r:id="rId21">
        <w:r w:rsidDel="00000000" w:rsidR="00000000" w:rsidRPr="00000000">
          <w:rPr>
            <w:rFonts w:ascii="Google Sans" w:cs="Google Sans" w:eastAsia="Google Sans" w:hAnsi="Google Sans"/>
            <w:color w:val="0000ee"/>
            <w:sz w:val="24"/>
            <w:szCs w:val="24"/>
            <w:u w:val="single"/>
            <w:rtl w:val="0"/>
          </w:rPr>
          <w:t xml:space="preserve">https://www.tandfonline.com/doi/full/10.1080/19420862.2025.2592422</w:t>
        </w:r>
      </w:hyperlink>
      <w:r w:rsidDel="00000000" w:rsidR="00000000" w:rsidRPr="00000000">
        <w:rPr>
          <w:rtl w:val="0"/>
        </w:rPr>
      </w:r>
    </w:p>
    <w:p w:rsidR="00000000" w:rsidDel="00000000" w:rsidP="00000000" w:rsidRDefault="00000000" w:rsidRPr="00000000" w14:paraId="0000009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TfR, No Longer Lone Star? New Shuttles Use Other Keys to Unlock Brain | ALZFORUM, accessed March 7, 2026, </w:t>
      </w:r>
      <w:hyperlink r:id="rId22">
        <w:r w:rsidDel="00000000" w:rsidR="00000000" w:rsidRPr="00000000">
          <w:rPr>
            <w:rFonts w:ascii="Google Sans" w:cs="Google Sans" w:eastAsia="Google Sans" w:hAnsi="Google Sans"/>
            <w:color w:val="0000ee"/>
            <w:sz w:val="24"/>
            <w:szCs w:val="24"/>
            <w:u w:val="single"/>
            <w:rtl w:val="0"/>
          </w:rPr>
          <w:t xml:space="preserve">https://www.alzforum.org/news/conference-coverage/tfr-no-longer-lone-star-new-shuttles-use-other-keys-unlock-brain</w:t>
        </w:r>
      </w:hyperlink>
      <w:r w:rsidDel="00000000" w:rsidR="00000000" w:rsidRPr="00000000">
        <w:rPr>
          <w:rtl w:val="0"/>
        </w:rPr>
      </w:r>
    </w:p>
    <w:p w:rsidR="00000000" w:rsidDel="00000000" w:rsidP="00000000" w:rsidRDefault="00000000" w:rsidRPr="00000000" w14:paraId="0000009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Molecular Transport Vehicle Shuttles Therapies into Brain - Alzforum, accessed March 7, 2026, </w:t>
      </w:r>
      <w:hyperlink r:id="rId23">
        <w:r w:rsidDel="00000000" w:rsidR="00000000" w:rsidRPr="00000000">
          <w:rPr>
            <w:rFonts w:ascii="Google Sans" w:cs="Google Sans" w:eastAsia="Google Sans" w:hAnsi="Google Sans"/>
            <w:color w:val="0000ee"/>
            <w:sz w:val="24"/>
            <w:szCs w:val="24"/>
            <w:u w:val="single"/>
            <w:rtl w:val="0"/>
          </w:rPr>
          <w:t xml:space="preserve">https://www.alzforum.org/news/research-news/molecular-transport-vehicle-shuttles-therapies-brain</w:t>
        </w:r>
      </w:hyperlink>
      <w:r w:rsidDel="00000000" w:rsidR="00000000" w:rsidRPr="00000000">
        <w:rPr>
          <w:rtl w:val="0"/>
        </w:rPr>
      </w:r>
    </w:p>
    <w:p w:rsidR="00000000" w:rsidDel="00000000" w:rsidP="00000000" w:rsidRDefault="00000000" w:rsidRPr="00000000" w14:paraId="0000009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England Journal of Medicine Publishes Phase 1/2 Study of ..., accessed March 7, 2026, </w:t>
      </w:r>
      <w:hyperlink r:id="rId24">
        <w:r w:rsidDel="00000000" w:rsidR="00000000" w:rsidRPr="00000000">
          <w:rPr>
            <w:rFonts w:ascii="Google Sans" w:cs="Google Sans" w:eastAsia="Google Sans" w:hAnsi="Google Sans"/>
            <w:color w:val="0000ee"/>
            <w:sz w:val="24"/>
            <w:szCs w:val="24"/>
            <w:u w:val="single"/>
            <w:rtl w:val="0"/>
          </w:rPr>
          <w:t xml:space="preserve">https://bioutah.org/the-new-england-journal-of-medicine-publishes-phase-1-2-study-of-denali-therapeutics-tividenofusp-alfa-dnl310-for-hunter-syndrome-mps-ii/</w:t>
        </w:r>
      </w:hyperlink>
      <w:r w:rsidDel="00000000" w:rsidR="00000000" w:rsidRPr="00000000">
        <w:rPr>
          <w:rtl w:val="0"/>
        </w:rPr>
      </w:r>
    </w:p>
    <w:p w:rsidR="00000000" w:rsidDel="00000000" w:rsidP="00000000" w:rsidRDefault="00000000" w:rsidRPr="00000000" w14:paraId="0000009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England Journal of Medicine Publishes Phase 1/2 Study of Denali Therapeutics' Tividenofusp Alfa (DNL310) for Hunter Syndrome (MPS II), accessed March 7, 2026, </w:t>
      </w:r>
      <w:hyperlink r:id="rId25">
        <w:r w:rsidDel="00000000" w:rsidR="00000000" w:rsidRPr="00000000">
          <w:rPr>
            <w:rFonts w:ascii="Google Sans" w:cs="Google Sans" w:eastAsia="Google Sans" w:hAnsi="Google Sans"/>
            <w:color w:val="0000ee"/>
            <w:sz w:val="24"/>
            <w:szCs w:val="24"/>
            <w:u w:val="single"/>
            <w:rtl w:val="0"/>
          </w:rPr>
          <w:t xml:space="preserve">https://investors.denalitherapeutics.com/news-releases/news-release-details/new-england-journal-medicine-publishes-phase-12-study-denali</w:t>
        </w:r>
      </w:hyperlink>
      <w:r w:rsidDel="00000000" w:rsidR="00000000" w:rsidRPr="00000000">
        <w:rPr>
          <w:rtl w:val="0"/>
        </w:rPr>
      </w:r>
    </w:p>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Successful Meeting with the FDA and Plans to File for Accelerated Approval of Tividenofusp Alfa (D, accessed March 7, 2026, </w:t>
      </w:r>
      <w:hyperlink r:id="rId26">
        <w:r w:rsidDel="00000000" w:rsidR="00000000" w:rsidRPr="00000000">
          <w:rPr>
            <w:rFonts w:ascii="Google Sans" w:cs="Google Sans" w:eastAsia="Google Sans" w:hAnsi="Google Sans"/>
            <w:color w:val="0000ee"/>
            <w:sz w:val="24"/>
            <w:szCs w:val="24"/>
            <w:u w:val="single"/>
            <w:rtl w:val="0"/>
          </w:rPr>
          <w:t xml:space="preserve">https://investors.denalitherapeutics.com/node/10616/pdf</w:t>
        </w:r>
      </w:hyperlink>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NCT05371613 | A Study to Determine the Efficacy ..., accessed March 7, 2026, </w:t>
      </w:r>
      <w:hyperlink r:id="rId27">
        <w:r w:rsidDel="00000000" w:rsidR="00000000" w:rsidRPr="00000000">
          <w:rPr>
            <w:rFonts w:ascii="Google Sans" w:cs="Google Sans" w:eastAsia="Google Sans" w:hAnsi="Google Sans"/>
            <w:color w:val="0000ee"/>
            <w:sz w:val="24"/>
            <w:szCs w:val="24"/>
            <w:u w:val="single"/>
            <w:rtl w:val="0"/>
          </w:rPr>
          <w:t xml:space="preserve">https://clinicaltrials.gov/study/NCT05371613</w:t>
        </w:r>
      </w:hyperlink>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Concordance of the Vineland Adaptive Behavior Scales, Second and Third Editions - PMC, accessed March 7,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https://pmc.ncbi.nlm.nih.gov/articles/PMC6941197/</w:t>
        </w:r>
      </w:hyperlink>
      <w:r w:rsidDel="00000000" w:rsidR="00000000" w:rsidRPr="00000000">
        <w:rPr>
          <w:rtl w:val="0"/>
        </w:rPr>
      </w:r>
    </w:p>
    <w:p w:rsidR="00000000" w:rsidDel="00000000" w:rsidP="00000000" w:rsidRDefault="00000000" w:rsidRPr="00000000" w14:paraId="0000009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Vineland-3 Growth Scale Values: Psychometric Properties for Clinical Trial Readiness in SCN2A - FamilieSCN2A Foundation, accessed March 7, 2026, </w:t>
      </w:r>
      <w:hyperlink r:id="rId29">
        <w:r w:rsidDel="00000000" w:rsidR="00000000" w:rsidRPr="00000000">
          <w:rPr>
            <w:rFonts w:ascii="Google Sans" w:cs="Google Sans" w:eastAsia="Google Sans" w:hAnsi="Google Sans"/>
            <w:color w:val="0000ee"/>
            <w:sz w:val="24"/>
            <w:szCs w:val="24"/>
            <w:u w:val="single"/>
            <w:rtl w:val="0"/>
          </w:rPr>
          <w:t xml:space="preserve">https://www.scn2a.org/pdf/kaat-et-al-2025-vineland-3-growth-scale-values-psychometric-properties-for-clinical-trial-readiness-in-scn2a.pdf</w:t>
        </w:r>
      </w:hyperlink>
      <w:r w:rsidDel="00000000" w:rsidR="00000000" w:rsidRPr="00000000">
        <w:rPr>
          <w:rtl w:val="0"/>
        </w:rPr>
      </w:r>
    </w:p>
    <w:p w:rsidR="00000000" w:rsidDel="00000000" w:rsidP="00000000" w:rsidRDefault="00000000" w:rsidRPr="00000000" w14:paraId="0000009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Bayley Scales of Infant and Toddler Development Third Edition (BSITD-III) meaningful change and item relevance in children with neuronopathic MPS II: a caregiver interview-based study - PMC, accessed March 7,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https://pmc.ncbi.nlm.nih.gov/articles/PMC12908258/</w:t>
        </w:r>
      </w:hyperlink>
      <w:r w:rsidDel="00000000" w:rsidR="00000000" w:rsidRPr="00000000">
        <w:rPr>
          <w:rtl w:val="0"/>
        </w:rPr>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and Biogen Announce Initiation of Phase 2b Study of LRRK2 Inhibitor in Parkinson's Disease, accessed March 7, 2026, </w:t>
      </w:r>
      <w:hyperlink r:id="rId31">
        <w:r w:rsidDel="00000000" w:rsidR="00000000" w:rsidRPr="00000000">
          <w:rPr>
            <w:rFonts w:ascii="Google Sans" w:cs="Google Sans" w:eastAsia="Google Sans" w:hAnsi="Google Sans"/>
            <w:color w:val="0000ee"/>
            <w:sz w:val="24"/>
            <w:szCs w:val="24"/>
            <w:u w:val="single"/>
            <w:rtl w:val="0"/>
          </w:rPr>
          <w:t xml:space="preserve">https://investors.biogen.com/news-releases/news-release-details/denali-therapeutics-and-biogen-announce-initiation-phase-2b</w:t>
        </w:r>
      </w:hyperlink>
      <w:r w:rsidDel="00000000" w:rsidR="00000000" w:rsidRPr="00000000">
        <w:rPr>
          <w:rtl w:val="0"/>
        </w:rPr>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LRRK2 Inhibition by BIIB122 in Healthy Participants and Patients with Parkinson's Disease, accessed March 7, 2026, </w:t>
      </w:r>
      <w:hyperlink r:id="rId32">
        <w:r w:rsidDel="00000000" w:rsidR="00000000" w:rsidRPr="00000000">
          <w:rPr>
            <w:rFonts w:ascii="Google Sans" w:cs="Google Sans" w:eastAsia="Google Sans" w:hAnsi="Google Sans"/>
            <w:color w:val="0000ee"/>
            <w:sz w:val="24"/>
            <w:szCs w:val="24"/>
            <w:u w:val="single"/>
            <w:rtl w:val="0"/>
          </w:rPr>
          <w:t xml:space="preserve">https://pubmed.ncbi.nlm.nih.gov/36807624/</w:t>
        </w:r>
      </w:hyperlink>
      <w:r w:rsidDel="00000000" w:rsidR="00000000" w:rsidRPr="00000000">
        <w:rPr>
          <w:rtl w:val="0"/>
        </w:rPr>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DNL151 | ALZFORUM, accessed March 7, 2026, </w:t>
      </w:r>
      <w:hyperlink r:id="rId33">
        <w:r w:rsidDel="00000000" w:rsidR="00000000" w:rsidRPr="00000000">
          <w:rPr>
            <w:rFonts w:ascii="Google Sans" w:cs="Google Sans" w:eastAsia="Google Sans" w:hAnsi="Google Sans"/>
            <w:color w:val="0000ee"/>
            <w:sz w:val="24"/>
            <w:szCs w:val="24"/>
            <w:u w:val="single"/>
            <w:rtl w:val="0"/>
          </w:rPr>
          <w:t xml:space="preserve">https://www.alzforum.org/therapeutics/dnl151</w:t>
        </w:r>
      </w:hyperlink>
      <w:r w:rsidDel="00000000" w:rsidR="00000000" w:rsidRPr="00000000">
        <w:rPr>
          <w:rtl w:val="0"/>
        </w:rPr>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Biogen Provides Update on Parkinson's Disease Clinical Development Program,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https://investors.biogen.com/news-releases/news-release-details/statement-biogen-provides-update-parkinsons-disease-clinical</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NCT05348785 | A Study to Learn About the Safety of BIIB122 Tablets and Whether They Can Slow the Worsening of Early-Stage Parkinson's Disease in Adults Between the Ages of 30 and 80 | ClinicalTrials.gov,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https://clinicaltrials.gov/study/NCT05348785</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Announces FDA Acceptance and Priority Review of Biologics License Application (BLA) for Tividenofusp Alfa for Hunter Syndrome (MPS II) - GlobeNewswire,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https://www.globenewswire.com/news-release/2025/07/07/3110980/0/en/Denali-Therapeutics-Announces-FDA-Acceptance-and-Priority-Review-of-Biologics-License-Application-BLA-for-Tividenofusp-Alfa-for-Hunter-Syndrome-MPS-II.html</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NCT04573023 | A Phase III Study of JR-141 in ...,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https://clinicaltrials.gov/study/NCT04573023</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JCR Pharmaceuticals Presents Long-Term Clinical Data on ...,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https://jcrpharm.com/wp-content/uploads/2025/09/20250908554622.pdf</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JCR Pharmaceuticals Presents Promising Blood-Brain Barrier Data for Rare Disease Therapies at WORLDSymposium 2026 - MedPath,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https://trial.medpath.com/news/ff7b731fc41cbdd4/jcr-pharmaceuticals-presents-promising-blood-brain-barrier-data-for-rare-disease-therapies-at-worldsymposium-2026</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Regulatory Update on RGX-121 BLA for MPS II,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https://ir.regenxbio.com/news-releases/news-release-details/regenxbio-announces-regulatory-update-rgx-121-bla-mps-ii</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 Announces Regulatory Update on Ultra Rare MPS Programs,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https://ir.regenxbio.com/news-releases/news-release-details/regenxbio-announces-regulatory-update-ultra-rare-mps-programs</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 125840/0 - Food and Drug Administration,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https://download.open.fda.gov/crl/CRL_BLA125840_20260207.pdf</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Year China Surpassed the USA in Biotech Innovation, Deal Value, and Clinical Output,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https://www.synbiobeta.com/read/the-year-china-surpassed-the-usa-in-biotech-innovation-deal-value-and-clinical-output</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TfR1 &amp; CD98 Fully Human BBB Shuttle Antibodies for CNS Diseases - Biocytogen,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https://biocytogen.com/blogs/bbb-shuttle-antibodies-cns-drug-delivery</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We Are Our vision - ABL Bio,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https://www.ablbio.com/en/company/main</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ABL Bio,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https://ablbio.com/en/company/news/54?</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Insilico Medicine and Hygtia Therapeutics Enter New Global Strategic Collaboration to Co-Develop Novel Brain Penetrant NLRP3 Inhibitor for CNS Diseases treatment - PR Newswire,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https://www.prnewswire.com/news-releases/insilico-medicine-and-hygtia-therapeutics-enter-new-global-strategic-collaboration-to-co-develop-novel-brain-penetrant-nlrp3-inhibitor-for-cns-diseases-treatment-302666035.html</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Reports Fourth Quarter and Full Year 2024 Financial Results and Business Highlights,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https://investors.denalitherapeutics.com/node/10991/pdf</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3 recent FDA rejections reveal about shifts inside the agency,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https://www.pharmavoice.com/news/fda-rejection-makary-regenxbio-drug-approval/813653/</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In-Depth Analysis of Mucopolysaccharidosis Market and its Subtypes: Mucopolysaccharidosis I, Mucopolysaccharidosis II, Mucopolysaccharidosis III, Mucopolysaccharidosis IV, and Mucopolysaccharidosis VII | DelveInsight - PR Newswire,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https://www.prnewswire.com/news-releases/in-depth-analysis-of-mucopolysaccharidosis-market-and-its-subtypes-mucopolysaccharidosis-i-mucopolysaccharidosis-ii-mucopolysaccharidosis-iii-mucopolysaccharidosis-iv-and-mucopolysaccharidosis-vii--delveinsight-301964113.html</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Regenxbio's MPS II Gene Therapy RGX-121 Hit With CRL | NeurologyLive,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https://www.neurologylive.com/view/regenxbio-mps-ii-gene-therapy-rgx-121-crl</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1/2 Study of Intravenous Tividenofusp Alfa for Mucopolysaccharidosis Type II - Denali Therapeutics,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https://www.denalitherapeutics.com/wp-content/uploads/2026/02/DNLI-WORLD-2026-Tividenodusp-Alfa-Platform-Presentation.pdf</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(DNLI) Stock Forecast: Analyst Ratings, Predictions &amp; Price Target 2026 - Public Investing,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https://public.com/stocks/dnli/forecast-price-target</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Posts Best-in-Class Sanfilippo Data at WORLD Symposium, Eyes Back-to-Back Rare Disease Approvals | Fintool News,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https://fintool.com/news/denali-world-symposium-sanfilippo-hunter</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Presents Enzyme TransportVehicle™ Progress Across Three Clinical Programs for Treatment of Lysosomal Storage Disorders at 2026 WORLDSymposium™ - BioSpace,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https://www.biospace.com/press-releases/denali-therapeutics-presents-enzyme-transportvehicle-progress-across-three-clinical-programs-for-treatment-of-lysosomal-storage-disorders-at-2026-worldsymposium</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Reports Fourth Quarter and Full Year 2025 Financial Results and Business Highlights - GlobeNewswire,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https://www.globenewswire.com/news-release/2026/02/26/3246050/0/en/Denali-Therapeutics-Reports-Fourth-Quarter-and-Full-Year-2025-Financial-Results-and-Business-Highlights.html</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Biopharma's 2025 M&amp;A boom: Dealmaking surges as patent pressures intensify,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https://www.pharmaceutical-technology.com/features/biopharmas-2025-ma-boom-dealmaking-surges-as-patent-pressures-intensify/</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biopharma M&amp;A deals of 2025 - Fierce Pharma,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https://www.fiercepharma.com/pharma/top-10-biopharma-ma-deals-2025</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Biggest Biopharma Takeovers of 2025 - BioSpace,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https://www.biospace.com/business/five-biggest-biopharma-takeovers-of-2025</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FDA Grants Rare Pediatric Disease Designation for JR-141 for MPSII,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https://firstwordpharma.com/story/5697771</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DNLI Stock Price Quote &amp; News - Robinhood,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https://robinhood.com/stocks/DNLI</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(DNLI) Stock Price &amp; Overview,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https://stockanalysis.com/stocks/dnli/</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Denali Therapeutics Inc. (DNLI): history, ownership, mission, how it works &amp; makes money,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https://www.dcfmodeling.com/blogs/history/dnli-history-mission-ownership</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Jefferies reiterates Denali stock Buy rating on gene therapy outlook - Investing.com,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https://www.investing.com/news/analyst-ratings/jefferies-reiterates-denali-stock-buy-rating-on-gene-therapy-outlook-93CH-4536467</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Wolfe Research Initiates Coverage of Denali Therapeutics (DNLI) with Peer Perform Recommendation | Nasdaq, accessed March 7, 2026, </w:t>
      </w:r>
      <w:hyperlink r:id="rId65">
        <w:r w:rsidDel="00000000" w:rsidR="00000000" w:rsidRPr="00000000">
          <w:rPr>
            <w:rFonts w:ascii="Google Sans" w:cs="Google Sans" w:eastAsia="Google Sans" w:hAnsi="Google Sans"/>
            <w:color w:val="0000ee"/>
            <w:sz w:val="24"/>
            <w:szCs w:val="24"/>
            <w:u w:val="single"/>
            <w:rtl w:val="0"/>
          </w:rPr>
          <w:t xml:space="preserve">https://www.nasdaq.com/articles/wolfe-research-initiates-coverage-denali-therapeutics-dnli-peer-perform-recommendation</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current Price Target and Forecast for Denali Therapeutics (DNLI), accessed March 7, 2026, </w:t>
      </w:r>
      <w:hyperlink r:id="rId66">
        <w:r w:rsidDel="00000000" w:rsidR="00000000" w:rsidRPr="00000000">
          <w:rPr>
            <w:rFonts w:ascii="Google Sans" w:cs="Google Sans" w:eastAsia="Google Sans" w:hAnsi="Google Sans"/>
            <w:color w:val="0000ee"/>
            <w:sz w:val="24"/>
            <w:szCs w:val="24"/>
            <w:u w:val="single"/>
            <w:rtl w:val="0"/>
          </w:rPr>
          <w:t xml:space="preserve">https://www.zacks.com/stock/research/DNLI/price-target-stock-forecast</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DNLI Stock Forecast 2026 - Denali Price Targets &amp; Predictions - Ticker Nerd, accessed March 7, 2026, </w:t>
      </w:r>
      <w:hyperlink r:id="rId67">
        <w:r w:rsidDel="00000000" w:rsidR="00000000" w:rsidRPr="00000000">
          <w:rPr>
            <w:rFonts w:ascii="Google Sans" w:cs="Google Sans" w:eastAsia="Google Sans" w:hAnsi="Google Sans"/>
            <w:color w:val="0000ee"/>
            <w:sz w:val="24"/>
            <w:szCs w:val="24"/>
            <w:u w:val="single"/>
            <w:rtl w:val="0"/>
          </w:rPr>
          <w:t xml:space="preserve">https://tickernerd.com/stock/dnli-forecast/</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BTIG Research Increases Denali Therapeutics (NASDAQ:DNLI) Price Target to $36.00, accessed March 7, 2026, </w:t>
      </w:r>
      <w:hyperlink r:id="rId68">
        <w:r w:rsidDel="00000000" w:rsidR="00000000" w:rsidRPr="00000000">
          <w:rPr>
            <w:rFonts w:ascii="Google Sans" w:cs="Google Sans" w:eastAsia="Google Sans" w:hAnsi="Google Sans"/>
            <w:color w:val="0000ee"/>
            <w:sz w:val="24"/>
            <w:szCs w:val="24"/>
            <w:u w:val="single"/>
            <w:rtl w:val="0"/>
          </w:rPr>
          <w:t xml:space="preserve">https://www.marketbeat.com/instant-alerts/btig-research-increases-denali-therapeutics-nasdaqdnli-price-target-to-3600-2026-03-02/</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Definitive Guide to Valuing Pharmaceutical and Biotech Companies - DrugPatentWatch, accessed March 7, 2026, </w:t>
      </w:r>
      <w:hyperlink r:id="rId69">
        <w:r w:rsidDel="00000000" w:rsidR="00000000" w:rsidRPr="00000000">
          <w:rPr>
            <w:rFonts w:ascii="Google Sans" w:cs="Google Sans" w:eastAsia="Google Sans" w:hAnsi="Google Sans"/>
            <w:color w:val="0000ee"/>
            <w:sz w:val="24"/>
            <w:szCs w:val="24"/>
            <w:u w:val="single"/>
            <w:rtl w:val="0"/>
          </w:rPr>
          <w:t xml:space="preserve">https://www.drugpatentwatch.com/blog/valuation-of-pharma-companies-5-key-considerations-2/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regenxbio.com/news-releases/news-release-details/regenxbio-announces-regulatory-update-rgx-121-bla-mps-ii" TargetMode="External"/><Relationship Id="rId42" Type="http://schemas.openxmlformats.org/officeDocument/2006/relationships/hyperlink" Target="https://download.open.fda.gov/crl/CRL_BLA125840_20260207.pdf" TargetMode="External"/><Relationship Id="rId41" Type="http://schemas.openxmlformats.org/officeDocument/2006/relationships/hyperlink" Target="https://ir.regenxbio.com/news-releases/news-release-details/regenxbio-announces-regulatory-update-ultra-rare-mps-programs" TargetMode="External"/><Relationship Id="rId44" Type="http://schemas.openxmlformats.org/officeDocument/2006/relationships/hyperlink" Target="https://biocytogen.com/blogs/bbb-shuttle-antibodies-cns-drug-delivery" TargetMode="External"/><Relationship Id="rId43" Type="http://schemas.openxmlformats.org/officeDocument/2006/relationships/hyperlink" Target="https://www.synbiobeta.com/read/the-year-china-surpassed-the-usa-in-biotech-innovation-deal-value-and-clinical-output" TargetMode="External"/><Relationship Id="rId46" Type="http://schemas.openxmlformats.org/officeDocument/2006/relationships/hyperlink" Target="https://ablbio.com/en/company/news/54" TargetMode="External"/><Relationship Id="rId45" Type="http://schemas.openxmlformats.org/officeDocument/2006/relationships/hyperlink" Target="https://www.ablbio.com/en/company/ma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ology.utah.edu/alumni/ryan-watts-bs00/" TargetMode="External"/><Relationship Id="rId48" Type="http://schemas.openxmlformats.org/officeDocument/2006/relationships/hyperlink" Target="https://investors.denalitherapeutics.com/node/10991/pdf" TargetMode="External"/><Relationship Id="rId47" Type="http://schemas.openxmlformats.org/officeDocument/2006/relationships/hyperlink" Target="https://www.prnewswire.com/news-releases/insilico-medicine-and-hygtia-therapeutics-enter-new-global-strategic-collaboration-to-co-develop-novel-brain-penetrant-nlrp3-inhibitor-for-cns-diseases-treatment-302666035.html" TargetMode="External"/><Relationship Id="rId49" Type="http://schemas.openxmlformats.org/officeDocument/2006/relationships/hyperlink" Target="https://www.pharmavoice.com/news/fda-rejection-makary-regenxbio-drug-approval/813653/" TargetMode="External"/><Relationship Id="rId5" Type="http://schemas.openxmlformats.org/officeDocument/2006/relationships/styles" Target="styles.xml"/><Relationship Id="rId6" Type="http://schemas.openxmlformats.org/officeDocument/2006/relationships/hyperlink" Target="https://www.fiercebiotech.com/biotech/updated-ex-genentech-dream-team-garners-217m-to-launch-neurodegenerative-player-denali" TargetMode="External"/><Relationship Id="rId7" Type="http://schemas.openxmlformats.org/officeDocument/2006/relationships/hyperlink" Target="https://www.sec.gov/Archives/edgar/data/1714899/000119312517340997/d445892ds1.htm" TargetMode="External"/><Relationship Id="rId8" Type="http://schemas.openxmlformats.org/officeDocument/2006/relationships/hyperlink" Target="https://www.denalitherapeutics.com/team/ryan-watts/" TargetMode="External"/><Relationship Id="rId31" Type="http://schemas.openxmlformats.org/officeDocument/2006/relationships/hyperlink" Target="https://investors.biogen.com/news-releases/news-release-details/denali-therapeutics-and-biogen-announce-initiation-phase-2b" TargetMode="External"/><Relationship Id="rId30" Type="http://schemas.openxmlformats.org/officeDocument/2006/relationships/hyperlink" Target="https://pmc.ncbi.nlm.nih.gov/articles/PMC12908258/" TargetMode="External"/><Relationship Id="rId33" Type="http://schemas.openxmlformats.org/officeDocument/2006/relationships/hyperlink" Target="https://www.alzforum.org/therapeutics/dnl151" TargetMode="External"/><Relationship Id="rId32" Type="http://schemas.openxmlformats.org/officeDocument/2006/relationships/hyperlink" Target="https://pubmed.ncbi.nlm.nih.gov/36807624/" TargetMode="External"/><Relationship Id="rId35" Type="http://schemas.openxmlformats.org/officeDocument/2006/relationships/hyperlink" Target="https://clinicaltrials.gov/study/NCT05348785" TargetMode="External"/><Relationship Id="rId34" Type="http://schemas.openxmlformats.org/officeDocument/2006/relationships/hyperlink" Target="https://investors.biogen.com/news-releases/news-release-details/statement-biogen-provides-update-parkinsons-disease-clinical" TargetMode="External"/><Relationship Id="rId37" Type="http://schemas.openxmlformats.org/officeDocument/2006/relationships/hyperlink" Target="https://clinicaltrials.gov/study/NCT04573023" TargetMode="External"/><Relationship Id="rId36" Type="http://schemas.openxmlformats.org/officeDocument/2006/relationships/hyperlink" Target="https://www.globenewswire.com/news-release/2025/07/07/3110980/0/en/Denali-Therapeutics-Announces-FDA-Acceptance-and-Priority-Review-of-Biologics-License-Application-BLA-for-Tividenofusp-Alfa-for-Hunter-Syndrome-MPS-II.html" TargetMode="External"/><Relationship Id="rId39" Type="http://schemas.openxmlformats.org/officeDocument/2006/relationships/hyperlink" Target="https://trial.medpath.com/news/ff7b731fc41cbdd4/jcr-pharmaceuticals-presents-promising-blood-brain-barrier-data-for-rare-disease-therapies-at-worldsymposium-2026" TargetMode="External"/><Relationship Id="rId38" Type="http://schemas.openxmlformats.org/officeDocument/2006/relationships/hyperlink" Target="https://jcrpharm.com/wp-content/uploads/2025/09/20250908554622.pdf" TargetMode="External"/><Relationship Id="rId62" Type="http://schemas.openxmlformats.org/officeDocument/2006/relationships/hyperlink" Target="https://stockanalysis.com/stocks/dnli/" TargetMode="External"/><Relationship Id="rId61" Type="http://schemas.openxmlformats.org/officeDocument/2006/relationships/hyperlink" Target="https://robinhood.com/stocks/DNLI" TargetMode="External"/><Relationship Id="rId20" Type="http://schemas.openxmlformats.org/officeDocument/2006/relationships/hyperlink" Target="https://www.labiotech.eu/best-biotech/hunter-syndrome-treatment-approaches/" TargetMode="External"/><Relationship Id="rId64" Type="http://schemas.openxmlformats.org/officeDocument/2006/relationships/hyperlink" Target="https://www.investing.com/news/analyst-ratings/jefferies-reiterates-denali-stock-buy-rating-on-gene-therapy-outlook-93CH-4536467" TargetMode="External"/><Relationship Id="rId63" Type="http://schemas.openxmlformats.org/officeDocument/2006/relationships/hyperlink" Target="https://www.dcfmodeling.com/blogs/history/dnli-history-mission-ownership" TargetMode="External"/><Relationship Id="rId22" Type="http://schemas.openxmlformats.org/officeDocument/2006/relationships/hyperlink" Target="https://www.alzforum.org/news/conference-coverage/tfr-no-longer-lone-star-new-shuttles-use-other-keys-unlock-brain" TargetMode="External"/><Relationship Id="rId66" Type="http://schemas.openxmlformats.org/officeDocument/2006/relationships/hyperlink" Target="https://www.zacks.com/stock/research/DNLI/price-target-stock-forecast" TargetMode="External"/><Relationship Id="rId21" Type="http://schemas.openxmlformats.org/officeDocument/2006/relationships/hyperlink" Target="https://www.tandfonline.com/doi/full/10.1080/19420862.2025.2592422" TargetMode="External"/><Relationship Id="rId65" Type="http://schemas.openxmlformats.org/officeDocument/2006/relationships/hyperlink" Target="https://www.nasdaq.com/articles/wolfe-research-initiates-coverage-denali-therapeutics-dnli-peer-perform-recommendation" TargetMode="External"/><Relationship Id="rId24" Type="http://schemas.openxmlformats.org/officeDocument/2006/relationships/hyperlink" Target="https://bioutah.org/the-new-england-journal-of-medicine-publishes-phase-1-2-study-of-denali-therapeutics-tividenofusp-alfa-dnl310-for-hunter-syndrome-mps-ii/" TargetMode="External"/><Relationship Id="rId68" Type="http://schemas.openxmlformats.org/officeDocument/2006/relationships/hyperlink" Target="https://www.marketbeat.com/instant-alerts/btig-research-increases-denali-therapeutics-nasdaqdnli-price-target-to-3600-2026-03-02/" TargetMode="External"/><Relationship Id="rId23" Type="http://schemas.openxmlformats.org/officeDocument/2006/relationships/hyperlink" Target="https://www.alzforum.org/news/research-news/molecular-transport-vehicle-shuttles-therapies-brain" TargetMode="External"/><Relationship Id="rId67" Type="http://schemas.openxmlformats.org/officeDocument/2006/relationships/hyperlink" Target="https://tickernerd.com/stock/dnli-forecast/" TargetMode="External"/><Relationship Id="rId60" Type="http://schemas.openxmlformats.org/officeDocument/2006/relationships/hyperlink" Target="https://firstwordpharma.com/story/5697771" TargetMode="External"/><Relationship Id="rId26" Type="http://schemas.openxmlformats.org/officeDocument/2006/relationships/hyperlink" Target="https://investors.denalitherapeutics.com/node/10616/pdf" TargetMode="External"/><Relationship Id="rId25" Type="http://schemas.openxmlformats.org/officeDocument/2006/relationships/hyperlink" Target="https://investors.denalitherapeutics.com/news-releases/news-release-details/new-england-journal-medicine-publishes-phase-12-study-denali" TargetMode="External"/><Relationship Id="rId69" Type="http://schemas.openxmlformats.org/officeDocument/2006/relationships/hyperlink" Target="https://www.drugpatentwatch.com/blog/valuation-of-pharma-companies-5-key-considerations-2/" TargetMode="External"/><Relationship Id="rId28" Type="http://schemas.openxmlformats.org/officeDocument/2006/relationships/hyperlink" Target="https://pmc.ncbi.nlm.nih.gov/articles/PMC6941197/" TargetMode="External"/><Relationship Id="rId27" Type="http://schemas.openxmlformats.org/officeDocument/2006/relationships/hyperlink" Target="https://clinicaltrials.gov/study/NCT05371613" TargetMode="External"/><Relationship Id="rId29" Type="http://schemas.openxmlformats.org/officeDocument/2006/relationships/hyperlink" Target="https://www.scn2a.org/pdf/kaat-et-al-2025-vineland-3-growth-scale-values-psychometric-properties-for-clinical-trial-readiness-in-scn2a.pdf" TargetMode="External"/><Relationship Id="rId51" Type="http://schemas.openxmlformats.org/officeDocument/2006/relationships/hyperlink" Target="https://www.neurologylive.com/view/regenxbio-mps-ii-gene-therapy-rgx-121-crl" TargetMode="External"/><Relationship Id="rId50" Type="http://schemas.openxmlformats.org/officeDocument/2006/relationships/hyperlink" Target="https://www.prnewswire.com/news-releases/in-depth-analysis-of-mucopolysaccharidosis-market-and-its-subtypes-mucopolysaccharidosis-i-mucopolysaccharidosis-ii-mucopolysaccharidosis-iii-mucopolysaccharidosis-iv-and-mucopolysaccharidosis-vii--delveinsight-301964113.html" TargetMode="External"/><Relationship Id="rId53" Type="http://schemas.openxmlformats.org/officeDocument/2006/relationships/hyperlink" Target="https://public.com/stocks/dnli/forecast-price-target" TargetMode="External"/><Relationship Id="rId52" Type="http://schemas.openxmlformats.org/officeDocument/2006/relationships/hyperlink" Target="https://www.denalitherapeutics.com/wp-content/uploads/2026/02/DNLI-WORLD-2026-Tividenodusp-Alfa-Platform-Presentation.pdf" TargetMode="External"/><Relationship Id="rId11" Type="http://schemas.openxmlformats.org/officeDocument/2006/relationships/hyperlink" Target="https://investors.denalitherapeutics.com/news-releases/news-release-details/denali-therapeutics-announces-key-anticipated-milestones-and" TargetMode="External"/><Relationship Id="rId55" Type="http://schemas.openxmlformats.org/officeDocument/2006/relationships/hyperlink" Target="https://www.biospace.com/press-releases/denali-therapeutics-presents-enzyme-transportvehicle-progress-across-three-clinical-programs-for-treatment-of-lysosomal-storage-disorders-at-2026-worldsymposium" TargetMode="External"/><Relationship Id="rId10" Type="http://schemas.openxmlformats.org/officeDocument/2006/relationships/hyperlink" Target="https://www.biospace.com/three-former-genentech-researchers-launch-neuroscience-company-b-denali-therapeutics-b-with-217-million" TargetMode="External"/><Relationship Id="rId54" Type="http://schemas.openxmlformats.org/officeDocument/2006/relationships/hyperlink" Target="https://fintool.com/news/denali-world-symposium-sanfilippo-hunter" TargetMode="External"/><Relationship Id="rId13" Type="http://schemas.openxmlformats.org/officeDocument/2006/relationships/hyperlink" Target="https://www.investing.com/news/company-news/denali-therapeutics-announces-board-and-leadership-changes-93CH-4339958" TargetMode="External"/><Relationship Id="rId57" Type="http://schemas.openxmlformats.org/officeDocument/2006/relationships/hyperlink" Target="https://www.pharmaceutical-technology.com/features/biopharmas-2025-ma-boom-dealmaking-surges-as-patent-pressures-intensify/" TargetMode="External"/><Relationship Id="rId12" Type="http://schemas.openxmlformats.org/officeDocument/2006/relationships/hyperlink" Target="https://www.globenewswire.com/news-release/2025/11/06/3183032/0/en/Denali-Therapeutics-Announces-Board-and-Executive-Leadership-Updates.html" TargetMode="External"/><Relationship Id="rId56" Type="http://schemas.openxmlformats.org/officeDocument/2006/relationships/hyperlink" Target="https://www.globenewswire.com/news-release/2026/02/26/3246050/0/en/Denali-Therapeutics-Reports-Fourth-Quarter-and-Full-Year-2025-Financial-Results-and-Business-Highlights.html" TargetMode="External"/><Relationship Id="rId15" Type="http://schemas.openxmlformats.org/officeDocument/2006/relationships/hyperlink" Target="https://investors.denalitherapeutics.com/node/11566/pdf" TargetMode="External"/><Relationship Id="rId59" Type="http://schemas.openxmlformats.org/officeDocument/2006/relationships/hyperlink" Target="https://www.biospace.com/business/five-biggest-biopharma-takeovers-of-2025" TargetMode="External"/><Relationship Id="rId14" Type="http://schemas.openxmlformats.org/officeDocument/2006/relationships/hyperlink" Target="https://investors.denalitherapeutics.com/node/11316/pdf" TargetMode="External"/><Relationship Id="rId58" Type="http://schemas.openxmlformats.org/officeDocument/2006/relationships/hyperlink" Target="https://www.fiercepharma.com/pharma/top-10-biopharma-ma-deals-2025" TargetMode="External"/><Relationship Id="rId17" Type="http://schemas.openxmlformats.org/officeDocument/2006/relationships/hyperlink" Target="https://www.stocktitan.net/sec-filings/DNLI/8-k-denali-therapeutics-inc-reports-material-event-e33c479979e4.html" TargetMode="External"/><Relationship Id="rId16" Type="http://schemas.openxmlformats.org/officeDocument/2006/relationships/hyperlink" Target="https://investors.denalitherapeutics.com/news-releases/news-release-details/denali-therapeutics-reports-fourth-quarter-and-full-year-2025" TargetMode="External"/><Relationship Id="rId19" Type="http://schemas.openxmlformats.org/officeDocument/2006/relationships/hyperlink" Target="https://www.pharmavoice.com/news/blood-brain-barrier-pharma-cusp-denali-roche/812356/" TargetMode="External"/><Relationship Id="rId18" Type="http://schemas.openxmlformats.org/officeDocument/2006/relationships/hyperlink" Target="https://beacon-intelligence.com/blog/breaching-the-fortress-the-new-wave-of-companies-cracking-the-blood-brain-barri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