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 Therapeutics (NASDAQ: GPCR) 深度投资尽职调查报告：口服 GLP-1 赛道的估值重构与并购博弈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在华尔街与顶级跨国药企（Big Pharma）的并购博弈与资本定价体系中，处于临床阶段的生物技术（Biotech）公司的核心资产不仅是分子管线，更是掌舵者的历史业绩（Track Record）。对于一家立足于高风险、高收益代谢疾病赛道的临床阶段公司，管理层的科学背景与商业变现能力直接决定了其在资本市场穿越周期的募资能力，以及在商务拓展（BD）谈判桌上的溢价筹码。</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核心团队的科学底座与技术溯源</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 Therapeutics（以下简称“GPCR”或“公司”）的科学基本盘建立在其首席执行官兼创始人 Raymond C. Stevens 博士无与伦比的学术成就之上。Stevens 博士是结构辅助药物设计（SBDD, Structure-Based Drug Discovery）领域的全球先驱与泰斗级人物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。他在加州大学伯克利分校、斯克里普斯研究所（Scripps Research）以及南加州大学（USC）拥有深厚的学术背景，并曾与 1976 年诺贝尔化学奖得主 William Lipscomb 共同在哈佛大学从事结构生物学博士后研究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。迄今为止，他已发表超过 400 篇高影响力的同行评审论文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最为关键的是，Stevens 博士的实验室在 2007 年成功解析了首个人类 G 蛋白偶联受体（GPCR）的晶体结构，这在分子生物学史上具有里程碑式的意义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。GPCR 是人类基因组中最大的膜蛋白家族，约占目前所有获批上市药物靶点的三分之一。然而，由于膜蛋白极难结晶，传统高通量筛选（HTS）往往只能发现脱靶率高、成药性差的苗头化合物。Stevens 博士及其团队通过整合冷冻电镜（cryo-EM）、X 射线晶体学与前沿机器学习算法，突破了这一瓶颈，使得针对复杂 GPCR 靶点的理性小分子设计成为可能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。公司旗下的全资子公司 Basecamp Bio 更是将 DNA 编码基因库（DEL）技术与膜蛋白亲和质谱技术相结合，构建了极高壁垒的早期发现引擎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。这种底层的科学护城河，使得大药厂在对其进行技术尽职调查时，无法轻易质疑其平台的成药转化潜力。</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连续创业与跨国并购的极致 Track Record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在生物制药领域，拥有“将底层科学转化为 FDA 获批药物”且“多次成功将公司溢价卖给 Big Pharma”双重 Track Record 的创始人屈指可数。Raymond Stevens 博士绝非仅限于象牙塔内的学者，他是一位拥有极高胜率的连续创业者，其过往的履历在华尔街具有极高的信用背书。</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其最具代表性的杰作是创立了靶向 S1PR1 受体的 GPCR 激动剂公司 Receptos。该公司最终被新基制药（Celgene，现归属百时美施贵宝 BMS）以高达 72 亿美元的对价收购，其核心管线 Zeposia™（Ozanimod）已成功获得美国 FDA 批准，分别于 2020 年和 2021 年获批用于治疗多发性硬化症与溃疡性结肠炎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。此外，他创立的 Syrrx 被日本武田制药（Takeda）收购；MemRx 被 Chiron/Novartis 收购；RuiYi 被跨国资本收购；他还参与开发了 2018 年获批的突破性药物 Palnziq™（用于治疗苯丙酮尿症，由 BioMarin 开发）</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投资洞察表明，这种级别的连胜纪录意味着 GPCR 在并购（M&amp;A）市场上拥有极高的隐性期权价值。当辉瑞（Pfizer）、罗氏（Roche）或阿斯利康（AstraZeneca）等急需补充代谢管线的巨头审视 GPCR 时，他们面对的是一个深谙大药厂并购逻辑、懂得如何将管线数据包装并推向最高估值的谈判对手。管理层的这一基本盘，是 GPCR 能够在一级市场和二级市场持续获得顶级资本青睐，甚至在 2025 年底成功完成 7.48 亿美元超额认购增发的底层逻辑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在多肽类 GLP-1 激动剂（如司美格鲁肽和替尔泊肽）统治千亿代谢市场的当下，小分子口服 GLP-1 是一块流着奶与蜜但充满临床死亡陷阱的应许之地。评估 GPCR 的核心管线，必须进行极其冷酷的数据拆解。必须首先厘清管线命名：根据输入数据与医学情报，GSBR-1290 与 Aleniglipron 实为同一分子的研发代号与世界卫生组织（WHO）建议的国际非专利名称（INN）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MoA 护城河：偏向性 GPCR 激动剂与氧化膦化学壁垒</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Aleniglipron 是一种完全非多肽的口服小分子 GLP-1 受体激动剂（GLP-1 RA）。其作用机制（MoA）并非完全新颖（Novel）的盲盒，而是一个经过高度验证（Highly Validated）的靶点。然而，其分子结构和受体层面的药理学特性具有 First-in-class 的潜质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 Structure 的 SBDD 平台，Aleniglipron 被精巧地设计为一种“偏向性 G 蛋白偶联受体激动剂”（Biased GPCR Agonist）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。在传统的受体药理学中，多肽类 GLP-1 激动剂在结合受体后，会同时激活 G 蛋白信号通路与 </w:t>
      </w:r>
      <w:r w:rsidDel="00000000" w:rsidR="00000000" w:rsidRPr="00000000">
        <w:rPr>
          <w:rFonts w:ascii="Google Sans" w:cs="Google Sans" w:eastAsia="Google Sans" w:hAnsi="Google Sans"/>
          <w:color w:val="1f1f1f"/>
        </w:rPr>
        <w:drawing>
          <wp:inline distB="19050" distT="19050" distL="19050" distR="19050">
            <wp:extent cx="114102" cy="23454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4102" cy="234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-arrestin 通路。</w:t>
      </w:r>
      <w:r w:rsidDel="00000000" w:rsidR="00000000" w:rsidRPr="00000000">
        <w:rPr>
          <w:rFonts w:ascii="Google Sans" w:cs="Google Sans" w:eastAsia="Google Sans" w:hAnsi="Google Sans"/>
          <w:color w:val="1f1f1f"/>
        </w:rPr>
        <w:drawing>
          <wp:inline distB="19050" distT="19050" distL="19050" distR="19050">
            <wp:extent cx="114102" cy="234543"/>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4102" cy="234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-arrestin 通路的激活通常与受体的内化（Internalization）、脱敏（Desensitization）以及引发恶心、呕吐等胃肠道（GI）严重不良反应高度相关。Aleniglipron 的差异化在于，它能够选择性地强效激活 G 蛋白信号通路以实现胰岛素分泌和食欲抑制，同时最大限度地减少 </w:t>
      </w:r>
      <w:r w:rsidDel="00000000" w:rsidR="00000000" w:rsidRPr="00000000">
        <w:rPr>
          <w:rFonts w:ascii="Google Sans" w:cs="Google Sans" w:eastAsia="Google Sans" w:hAnsi="Google Sans"/>
          <w:color w:val="1f1f1f"/>
        </w:rPr>
        <w:drawing>
          <wp:inline distB="19050" distT="19050" distL="19050" distR="19050">
            <wp:extent cx="114102" cy="23454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4102" cy="234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-arrestin 通路的募集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。这种偏向性机制在理论上能够维持长期的高效降糖和减重功效，而不易产生受体耐受性，且在同等药效下显著改善患者的胃肠道耐受性。</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从化学实体结构来看，Aleniglipron 的分子架构中包含一个极其罕见且难以合成的“氧化膦（phosphine oxide）”基序（分子式：</w:t>
      </w:r>
      <w:r w:rsidDel="00000000" w:rsidR="00000000" w:rsidRPr="00000000">
        <w:rPr>
          <w:rFonts w:ascii="Google Sans" w:cs="Google Sans" w:eastAsia="Google Sans" w:hAnsi="Google Sans"/>
          <w:color w:val="1f1f1f"/>
        </w:rPr>
        <w:drawing>
          <wp:inline distB="19050" distT="19050" distL="19050" distR="19050">
            <wp:extent cx="1286275" cy="23560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86275" cy="2356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，分子量 916）</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。这一独特的药效团（Pharmacophore）不仅赋予了该分子出色的亲脂性（CLogP = 4.6）和极佳的口服生物利用度，更构筑了一道令仿制药企和 Fast-follower 望而却步的专利铁壁（详见后文竞争格局分析）。</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核心临床试验设计审视：ACCESS 与 ACCESS II 的统计学底牌</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临床试验的设计严谨度直接决定了数据的置信区间。GPCR 在 2025 年 12 月公布了其 Phase 2b 期 ACCESS 项目的顶线数据，并计划在 2026 年第一季度公布更高剂量的 ACCESS II 44周数据，引发了市场的强烈重估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 是一项随机、双盲、安慰剂对照的 Phase 2b 核心研究，招募了 220 名肥胖或伴有至少一种体重相关合并症的超重成年患者。ACCESS II 则是一项探索性研究，招募了 85 名患者，专门评估 180 mg 和 240 mg 的极高剂量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。基线特征（Baseline Characteristics）审查显示，受试者平均年龄约为 45 岁，平均体重约为 90 公斤，BMI 集中在 </w:t>
      </w:r>
      <w:r w:rsidDel="00000000" w:rsidR="00000000" w:rsidRPr="00000000">
        <w:rPr>
          <w:rFonts w:ascii="Google Sans" w:cs="Google Sans" w:eastAsia="Google Sans" w:hAnsi="Google Sans"/>
          <w:color w:val="1f1f1f"/>
        </w:rPr>
        <w:drawing>
          <wp:inline distB="19050" distT="19050" distL="19050" distR="19050">
            <wp:extent cx="901700" cy="215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01700" cy="215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24371" cy="236607"/>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4371" cy="236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，且超过 40% 的患者为西班牙裔或拉丁裔，基线在各个给药组和安慰剂组之间分布极其均衡，无统计学显著差异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。这种均衡性排除了因受试者异质性导致的疗效偏差。</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在统计学终点设计上，主要终点设定为 36 周（ACCESS）和 44 周（ACCESS II）时的体重变化百分比。公司严格采用了“主要疗效估计量（Primary Efficacy Estimand）”结合混合效应模型重复测量（MMRM）进行统计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不仅是目前美国食品药品监督管理局（FDA）审评代谢药物疗效的金标准，而且有效避免了末次观测值结转（LOCF）等容易掩盖极高脱落率的注水统计方法。这意味着其披露的减重数据是纯粹、冷酷且经得起监管机构穿透式审查的。</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核心数据透视：极具统治力的疗效与安全性重构</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 年 12 月公布的 36 周数据展现了极其完美的剂量-效应（Dose-Response）关系，这是临床药理学上验证药物真实有效性的核心标志，彻底打消了此前市场对口服小分子疗效触顶的担忧。</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临床试验队列 (36周数据)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每日给药剂量 (QD)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安慰剂校正后平均体重降幅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P值 (vs 安慰剂)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至少 10% 减重达标率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2b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44538" cy="209998"/>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44538" cy="20999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2b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44538" cy="209998"/>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44538" cy="20999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2b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-11.3% (约 27.3 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44538" cy="209998"/>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44538" cy="20999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 ACCESS 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-15.3% (约 35.5 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44538" cy="209998"/>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44538" cy="20999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数据透视显示了三个极其关键的投资洞察： 首先，15.3% 的极高剂量减重幅度已经触及甚至超越了目前同类最佳（Best-in-class）的口服分子标杆，证明了小分子也能达到媲美高剂量注射多肽（如 Wegovy）的磅礴药效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。其次，最令临床医生振奋的是，在 36 周的时间节点上，无论是在 120 mg 还是 240 mg 队列中，患者的</w:t>
      </w:r>
      <w:r w:rsidDel="00000000" w:rsidR="00000000" w:rsidRPr="00000000">
        <w:rPr>
          <w:rFonts w:ascii="Google Sans" w:cs="Google Sans" w:eastAsia="Google Sans" w:hAnsi="Google Sans"/>
          <w:b w:val="1"/>
          <w:bCs w:val="1"/>
          <w:color w:val="1f1f1f"/>
          <w:rtl w:val="0"/>
        </w:rPr>
        <w:t xml:space="preserve">体重下降曲线均未观察到平台期（No plateau of weight loss was observed）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。这意味着药物在 44 周甚至 68 周的长期治疗中，仍有进一步向下突破 18% 甚至 20% 减重大关的巨大潜能。</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在安全性与耐受性方面，Aleniglipron 成功跨越了口服小分子的死亡谷。此前，辉瑞的明星管线 Danuglipron 正式因为在临床试验中发现受试者转氨酶异常升高，引发药物性肝损伤（DILI）担忧而被迫终止开发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。而 Aleniglipron 在包括 240 mg 极高剂量的所有队列中，</w:t>
      </w:r>
      <w:r w:rsidDel="00000000" w:rsidR="00000000" w:rsidRPr="00000000">
        <w:rPr>
          <w:rFonts w:ascii="Google Sans" w:cs="Google Sans" w:eastAsia="Google Sans" w:hAnsi="Google Sans"/>
          <w:b w:val="1"/>
          <w:bCs w:val="1"/>
          <w:color w:val="1f1f1f"/>
          <w:rtl w:val="0"/>
        </w:rPr>
        <w:t xml:space="preserve">均未观察到任何药物性肝损伤或持续的肝酶升高</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。这直接排除了该机制下最大的系统性临床风险。</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此外，针对 GLP-1 常见的胃肠道不良事件（如恶心和呕吐），GPCR 的临床团队展示了极高的试验设计修正能力。在早期的 Phase 2a 和 ACCESS 试验中，由于起始滴定剂量较高，导致因不良事件相关的停药率达到 10.4%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。随后，管理层在开放标签扩展（OLE）和身体成分（Body Composition）研究中，果断将起始滴定剂量从 5 mg 降低至 2.5 mg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。这一神来之笔的策略不仅维持了最终的稳态暴露量，更使得</w:t>
      </w:r>
      <w:r w:rsidDel="00000000" w:rsidR="00000000" w:rsidRPr="00000000">
        <w:rPr>
          <w:rFonts w:ascii="Google Sans" w:cs="Google Sans" w:eastAsia="Google Sans" w:hAnsi="Google Sans"/>
          <w:b w:val="1"/>
          <w:bCs w:val="1"/>
          <w:color w:val="1f1f1f"/>
          <w:rtl w:val="0"/>
        </w:rPr>
        <w:t xml:space="preserve">因不良事件导致的治疗停药率断崖式降至 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。极低的脱落率是未来推向真实世界商业化的核心竞争力。</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第二引擎：Amylin 受体激动剂 ACCG-2671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在单靶点内卷达到极致后，代谢领域的下一个圣杯是联合疗法。GPCR 的第二管线，口服小分子胰淀素（Amylin）受体激动剂 ACCG-2671，已于 2025 年底进入 Phase 1 临床研究，预计在 2026 年下半年读出初步数据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。胰淀素生物学已被诺和诺德的 CagriSema（多肽联合制剂）证实能与 GLP-1 产生强大的协同减重效应，同时具有不同的耐受性特征。如果 ACCG-2671 在 Phase 1 中证实了安全性与靶点结合能力，Structure 将拥有构建“完全口服的 GLP-1 + Amylin”双靶点复方制剂（Fixed-Dose Combination）的终极武器，这将使其在估值模型中获得指数级的溢价提升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肥胖与代谢综合征赛道是现代医药史上规模最大的金矿，但其内卷程度与资本厮杀也史无前例。将 Aleniglipron 放置在全局竞争雷达中进行冷酷的同类（In-class）与跨类（Out-of-class）对比，是评估其是否具备反脆弱能力的关键。</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赛道全景：In-class 竞品的参数交锋</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目前全球口服 GLP-1 赛道处于“一超多强”的胶着局面。绝对的领跑者是礼来（Eli Lilly）的 Orforglipron，这是一款正在进行庞大 Phase 3 临床试验的小分子，预计将在 2026 年迎来 FDA 审批及商业化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。根据礼来公布的 ATTAIN 试验数据，Orforglipron 最高剂量 36 mg 在 36 周时的平均减重约为 14.7%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。相比之下，Aleniglipron 240 mg 在同等时间维度的安慰剂校正减重达到 15.3%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。华尔街顶级投行（如 BMO Capital Markets 和 Leerink Partners）的分析师一致认为，这一数据不仅具备高度的竞争力，甚至在效能曲线上微幅胜出，完全具备成为赛道第二款上市的重磅小分子（Second-to-market entrant）甚至同类最佳（Best-in-class）的潜力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另一种竞争路径是诺和诺德（Novo Nordisk）的口服司美格鲁肽（Wegovy Pill/Rybelsus）。尽管诺和诺德在 2025-2026 年间推动了高剂量口服司美格鲁肽的审批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，但这本质上仍是将大分子多肽通过吸收促进剂（SNAC）强行口服化。其生物利用度极低（通常不到 1%），且患者必须在严格空腹状态下服药，服药后需禁水禁食至少 30 分钟。更为致命的是，多肽的口服化需要消耗庞大的原料药（API），其高昂的销货成本（COGS）从长期卫生经济学角度来看，无法支撑其作为廉价普及型药物的定位。</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反内卷护城河：应对 "中国 Biotech" 的极速威胁</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中国生物科技公司凭借极高的人效比、丰富的临床资源和快速的迭代能力，正在对全球口服 GLP-1 格局构成严重的 "Fast-follower" 甚至 "Me-better" 威胁。目前最具威胁的竞争者包括：</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恒瑞医药 (Hengrui) / Kailera</w:t>
      </w:r>
      <w:r w:rsidDel="00000000" w:rsidR="00000000" w:rsidRPr="00000000">
        <w:rPr>
          <w:rFonts w:ascii="Google Sans" w:cs="Google Sans" w:eastAsia="Google Sans" w:hAnsi="Google Sans"/>
          <w:color w:val="1f1f1f"/>
          <w:rtl w:val="0"/>
        </w:rPr>
        <w:t xml:space="preserve">：其口服 GLP-1 管线 Ribupatide (KAI-7535/HRS9531) 在中国进行的 Phase 2 试验中，26 周实现了最高达 12% 的减重效果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。其临床推进速度极快，且拥有雄厚的资本支持向全球市场扩张。</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智化科技 (MindRank)</w:t>
      </w:r>
      <w:r w:rsidDel="00000000" w:rsidR="00000000" w:rsidRPr="00000000">
        <w:rPr>
          <w:rFonts w:ascii="Google Sans" w:cs="Google Sans" w:eastAsia="Google Sans" w:hAnsi="Google Sans"/>
          <w:color w:val="1f1f1f"/>
          <w:rtl w:val="0"/>
        </w:rPr>
        <w:t xml:space="preserve">：这是一家利用人工智能（AI）赋能药物发现的临床阶段公司。其分子 MDR-001 的 Phase 2b 数据显示，24 周最高减重达到 10.3%（安慰剂校正约 7.8%），而在采用每日一次（QD）的优化方案的 Phase 1b 中，12 周减重 8.9%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面对中国 Biotech 擅长的结构微调与反向工程攻势，Structure 构建了两道深不可测的防线：</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第一道防线：基于氧化膦的 IP 铁壁</w:t>
      </w:r>
      <w:r w:rsidDel="00000000" w:rsidR="00000000" w:rsidRPr="00000000">
        <w:rPr>
          <w:rFonts w:ascii="Google Sans" w:cs="Google Sans" w:eastAsia="Google Sans" w:hAnsi="Google Sans"/>
          <w:color w:val="1f1f1f"/>
          <w:rtl w:val="0"/>
        </w:rPr>
        <w:t xml:space="preserve">。正如前文所述，Aleniglipron 罕见的氧化膦基团极大地增加了分子的合成复杂性与知识产权的排他性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。公司围绕该结构及其类似物、固体形态及治疗用途，在全球（包括中国）布局了严密的专利网，核心专利预期保护期至 2041 年至 2045 年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。中国国家药监局（NMPA）已于 2021 年正式实施《药品专利纠纷早期解决机制实施办法（试行）》（即中国版专利链接制度）</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，这意味着一旦触发专利侵权，中国市场的仿制或微调上市路径将面临漫长的法律诉讼，彻底锁死了 Fast-follower 的商业化捷径。</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第二道防线：罗氏（Roche）的天价“过路费”背书</w:t>
      </w:r>
      <w:r w:rsidDel="00000000" w:rsidR="00000000" w:rsidRPr="00000000">
        <w:rPr>
          <w:rFonts w:ascii="Google Sans" w:cs="Google Sans" w:eastAsia="Google Sans" w:hAnsi="Google Sans"/>
          <w:color w:val="1f1f1f"/>
          <w:rtl w:val="0"/>
        </w:rPr>
        <w:t xml:space="preserve">。2025 年 12 月底，发生了一起震撼业界的专利许可事件。制药巨头罗氏为了清除其重金收购的口服肥胖候选药物 CT-996 的知识产权隐患，被迫与 Structure 的全资子公司 Gasherbrum Bio 达成了一项专利非排他性许可协议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。罗氏为此支付了高达 1 亿美元的首付款，并承诺未来将按净销售额支付个位数比例的特许权使用费（Royalties），而这一切仅仅是为了避免侵犯 Structure 的底层 scaffold（骨架）专利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投资洞察指出：罗氏这种拥有全球顶尖法务与专利稽查团队的跨国巨头，在进行详尽的 IP 尽调后，选择妥协支付 1 亿美元现金，而不是在法庭上挑战 Structure 的专利无效，这是对 GPCR 底层化学架构原创性和专利坚固度的最高赞誉。这也向所有试图切入该赛道的竞争者亮出了冷酷的红牌——Structure 的护城河坚不可摧。</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如果将视野拉长至 2030 年，口服小分子 GLP-1 绝非大分子注射剂可有可无的补充，而是彻底重塑全球代谢疾病治疗范式的终局形态。</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的爆发与当前 SOC 的真实痛点</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全球肥胖与代谢相关疾病的市场规模（TAM）正在经历指数级扩张，多家投行与市场研究机构预测该市场将在 2030 年飙升至 1000 亿美元至 1374 亿美元，甚至触及 1500 亿美元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。这不仅仅是一个减重市场，更是对心血管风险（MACE）、睡眠呼吸暂停（OSA）、代谢相关脂肪性肝炎（MASH）以及周围动脉疾病的全面覆盖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然而，目前的标准治疗（SOC）——以司美格鲁肽和替尔泊肽为代表的皮下注射多肽——面临着三大难以逾越的系统性痛点：</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产能与供应链的物理瓶颈</w:t>
      </w:r>
      <w:r w:rsidDel="00000000" w:rsidR="00000000" w:rsidRPr="00000000">
        <w:rPr>
          <w:rFonts w:ascii="Google Sans" w:cs="Google Sans" w:eastAsia="Google Sans" w:hAnsi="Google Sans"/>
          <w:color w:val="1f1f1f"/>
          <w:rtl w:val="0"/>
        </w:rPr>
        <w:t xml:space="preserve">：多肽合成需要庞大且昂贵的固相合成反应器、耗费大量有机溶剂的纯化步骤，以及精密组装的特种一次性注射笔。这导致全球范围内的结构性缺货，且产能扩张周期长达数年。</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卫生经济学与医保承载力（Pricing &amp; Reimbursement）</w:t>
      </w:r>
      <w:r w:rsidDel="00000000" w:rsidR="00000000" w:rsidRPr="00000000">
        <w:rPr>
          <w:rFonts w:ascii="Google Sans" w:cs="Google Sans" w:eastAsia="Google Sans" w:hAnsi="Google Sans"/>
          <w:color w:val="1f1f1f"/>
          <w:rtl w:val="0"/>
        </w:rPr>
        <w:t xml:space="preserve">：目前注射用 GLP-1 在美国的月均标价逼近 1000 美元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。芝加哥大学等机构的卫生经济学研究表明，按照每质量调整生命年（QALY）低于 10 万美元的阈值计算，现有的多肽药物价格需要大幅削减 30% 至 80% 才能真正具备成本效益（Cost-effectiveness）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。这引发了雇主自筹资金健康福利计划和医疗保险（Medicare）的巨大支付压力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患者依从性衰减</w:t>
      </w:r>
      <w:r w:rsidDel="00000000" w:rsidR="00000000" w:rsidRPr="00000000">
        <w:rPr>
          <w:rFonts w:ascii="Google Sans" w:cs="Google Sans" w:eastAsia="Google Sans" w:hAnsi="Google Sans"/>
          <w:color w:val="1f1f1f"/>
          <w:rtl w:val="0"/>
        </w:rPr>
        <w:t xml:space="preserve">：长期维持皮下注射不仅带来注射部位反应和心理抵触，冷链储运的要求也极大地限制了患者的日常生活灵活性。</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商业化破局：小分子的维度打击与差异化战略</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口服小分子药物（如 Aleniglipron）的出现，将在生产制造与商业化策略上实施降维打击。 从**销货成本（COGS）**来看，小分子化药的合成能够利用现有的全球大规模标准化工产能，实现极高的规模经济效应（Scalability）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。没有冷链物流的负担，没有复杂的注射器组件，其单剂生产成本仅为多肽的零头。这种成本优势使得 Structure 在未来面对政府医保谈判（如美国的 IRA 法案或欧洲的集中采购）时，拥有极宽广的降价空间与利润缓冲垫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在**商业化差异化（Differentiate）**方面，GPCR 拥有三大破局场景：</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广阔的轻中度及早期干预市场</w:t>
      </w:r>
      <w:r w:rsidDel="00000000" w:rsidR="00000000" w:rsidRPr="00000000">
        <w:rPr>
          <w:rFonts w:ascii="Google Sans" w:cs="Google Sans" w:eastAsia="Google Sans" w:hAnsi="Google Sans"/>
          <w:color w:val="1f1f1f"/>
          <w:rtl w:val="0"/>
        </w:rPr>
        <w:t xml:space="preserve">：对于不需要极速减重、仅存在超重与早期代谢异常的庞大人群，每天服用一片药丸是阻力最小的一线干预手段。</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长期维持疗法（Maintenance Therapy）的刚需</w:t>
      </w:r>
      <w:r w:rsidDel="00000000" w:rsidR="00000000" w:rsidRPr="00000000">
        <w:rPr>
          <w:rFonts w:ascii="Google Sans" w:cs="Google Sans" w:eastAsia="Google Sans" w:hAnsi="Google Sans"/>
          <w:color w:val="1f1f1f"/>
          <w:rtl w:val="0"/>
        </w:rPr>
        <w:t xml:space="preserve">：肥胖被定义为慢性复发性疾病。2025 年礼来公布的 ATTAIN-MAINTAIN 试验结果验证了一个核心假设：患者在通过强效注射药物减去大基数体重后，可以无缝切换至口服小分子（如 Orforglipron 或 Aleniglipron）进行终身体重维持，从而避免反弹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。这一维持期市场的患者生命周期价值（LTV）最为丰厚，且黏性极高。</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组合疗法的基石（Combinability）</w:t>
      </w:r>
      <w:r w:rsidDel="00000000" w:rsidR="00000000" w:rsidRPr="00000000">
        <w:rPr>
          <w:rFonts w:ascii="Google Sans" w:cs="Google Sans" w:eastAsia="Google Sans" w:hAnsi="Google Sans"/>
          <w:color w:val="1f1f1f"/>
          <w:rtl w:val="0"/>
        </w:rPr>
        <w:t xml:space="preserve">：由于小分子不存在多肽类药物在同一制剂中容易发生的降解或聚集问题，Aleniglipron 极其适合与 ACCG-2671（淀粉样多肽激动剂）制成单片复方制剂（Fixed-Dose Combination），实现疗效的叠加与副作用的对冲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2026 年初于旧金山举行的摩根大通医疗健康大会（JPM Healthcare Conference）上，资本市场的共识已经十分清晰：生物制药行业的并购正在从盲目的广撒网转向对高确定性、具备 Best-in-class 潜力的后期资产的精准狙击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。Structure Therapeutics 作为目前市场上极其稀缺的——拥有准备就绪的 Phase 3 全球权益（Wholly-owned）、顶尖临床数据以及管理层成功出售记录的独立 Biotech，无疑是 2026 年并购雷达上的顶级猎物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历史先例与大药厂的战略焦虑</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GLP-1 赛道已经形成礼来与诺和诺德赢家通吃、狂揽千亿营收的局面。面对 2026-2030 年间诸多传统重磅药物的“专利悬崖（Patent Cliff）”，错过第一波红利的顶级大药厂陷入了严重的增长焦虑，挥舞着巨额现金支票进行防御性并购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罗氏（Roche）</w:t>
      </w:r>
      <w:r w:rsidDel="00000000" w:rsidR="00000000" w:rsidRPr="00000000">
        <w:rPr>
          <w:rFonts w:ascii="Google Sans" w:cs="Google Sans" w:eastAsia="Google Sans" w:hAnsi="Google Sans"/>
          <w:color w:val="1f1f1f"/>
          <w:rtl w:val="0"/>
        </w:rPr>
        <w:t xml:space="preserve"> 斥资 27 亿美元直接收购 Carmot Therapeutics，旨在获取其早期口服管线 CT-996。</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辉瑞（Pfizer）</w:t>
      </w:r>
      <w:r w:rsidDel="00000000" w:rsidR="00000000" w:rsidRPr="00000000">
        <w:rPr>
          <w:rFonts w:ascii="Google Sans" w:cs="Google Sans" w:eastAsia="Google Sans" w:hAnsi="Google Sans"/>
          <w:color w:val="1f1f1f"/>
          <w:rtl w:val="0"/>
        </w:rPr>
        <w:t xml:space="preserve"> 在其斥巨资自研的口服小分子 Danuglipron 因肝毒性被迫终止开发后，面临巨大的代谢管线真空，近期不得不收购 Metsera 以重新拼凑减肥药版图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阿斯利康（AstraZeneca）</w:t>
      </w:r>
      <w:r w:rsidDel="00000000" w:rsidR="00000000" w:rsidRPr="00000000">
        <w:rPr>
          <w:rFonts w:ascii="Google Sans" w:cs="Google Sans" w:eastAsia="Google Sans" w:hAnsi="Google Sans"/>
          <w:color w:val="1f1f1f"/>
          <w:rtl w:val="0"/>
        </w:rPr>
        <w:t xml:space="preserve"> 以最高 20 亿美元的里程碑代价引进了中国诚益生物（Eccogene）的早期口服 GLP-1 资产。</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溢价推演</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结合各巨头目前的管线短板与战略诉求，能够也是最迫切需要吞下 Structure 的买家呼之欲出：</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最绝望的进攻者：辉瑞 (Pfizer)</w:t>
      </w:r>
      <w:r w:rsidDel="00000000" w:rsidR="00000000" w:rsidRPr="00000000">
        <w:rPr>
          <w:rFonts w:ascii="Google Sans" w:cs="Google Sans" w:eastAsia="Google Sans" w:hAnsi="Google Sans"/>
          <w:color w:val="1f1f1f"/>
          <w:rtl w:val="0"/>
        </w:rPr>
        <w:t xml:space="preserve"> 辉瑞在 mRNA 疫苗红利退潮后急需新的增长极。Danuglipron 的失败让辉瑞在代谢领域倒退了数年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。Aleniglipron 完美的肝脏安全性记录直接解决了辉瑞最大的心病。拥有庞大基层心血管及内分泌销售网络和雄厚现金流的辉瑞，是最有动力直接溢价收购 GPCR 的巨头。</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防守反击的护城河守卫者：罗氏 (Roche)</w:t>
      </w:r>
      <w:r w:rsidDel="00000000" w:rsidR="00000000" w:rsidRPr="00000000">
        <w:rPr>
          <w:rFonts w:ascii="Google Sans" w:cs="Google Sans" w:eastAsia="Google Sans" w:hAnsi="Google Sans"/>
          <w:color w:val="1f1f1f"/>
          <w:rtl w:val="0"/>
        </w:rPr>
        <w:t xml:space="preserve"> 罗氏已经为 CT-996 支付给 Structure 高达 1 亿美元的 IP 授权费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。这不仅证明了罗氏对该分子底层构架的认可，更意味着罗氏在内部尽职调查中已经对 GPCR 的技术平台了如指掌。如果罗氏自身的 CT-996 在后续开发中暴露出效能不足或安全性瑕疵，直接全资收购 Structure 将是其保卫千亿减重市场的终极对冲策略。</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其他潜在竞标者</w:t>
      </w:r>
      <w:r w:rsidDel="00000000" w:rsidR="00000000" w:rsidRPr="00000000">
        <w:rPr>
          <w:rFonts w:ascii="Google Sans" w:cs="Google Sans" w:eastAsia="Google Sans" w:hAnsi="Google Sans"/>
          <w:color w:val="1f1f1f"/>
          <w:rtl w:val="0"/>
        </w:rPr>
        <w:t xml:space="preserve">：手握大量现金且急需拓宽重磅慢病管线的诺华（Novartis）、赛诺菲（Sanofi）甚至安进（Amgen）都随时可能加入战局。</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Buyout Price（收购价格）预估</w:t>
      </w:r>
      <w:r w:rsidDel="00000000" w:rsidR="00000000" w:rsidRPr="00000000">
        <w:rPr>
          <w:rFonts w:ascii="Google Sans" w:cs="Google Sans" w:eastAsia="Google Sans" w:hAnsi="Google Sans"/>
          <w:color w:val="1f1f1f"/>
          <w:rtl w:val="0"/>
        </w:rPr>
        <w:t xml:space="preserve">： 参考 Raymond Stevens 博士此前将 Receptos 以 72 亿美元高溢价出售给新基制药的历史案例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。考虑到肥胖市场的渗透率与 TAM 远超多发性硬化症，且 Aleniglipron 已经获得了高达 15.3% 的 Phase 2b 极具统治力的临床数据，消除了绝大多数的技术不确定性。一旦触发多方竞价战（Bidding War），合理的全面收购估值底线不应低于 </w:t>
      </w:r>
      <w:r w:rsidDel="00000000" w:rsidR="00000000" w:rsidRPr="00000000">
        <w:rPr>
          <w:rFonts w:ascii="Google Sans" w:cs="Google Sans" w:eastAsia="Google Sans" w:hAnsi="Google Sans"/>
          <w:b w:val="1"/>
          <w:bCs w:val="1"/>
          <w:color w:val="1f1f1f"/>
          <w:rtl w:val="0"/>
        </w:rPr>
        <w:t xml:space="preserve">80 亿至 100 亿美元</w:t>
      </w:r>
      <w:r w:rsidDel="00000000" w:rsidR="00000000" w:rsidRPr="00000000">
        <w:rPr>
          <w:rFonts w:ascii="Google Sans" w:cs="Google Sans" w:eastAsia="Google Sans" w:hAnsi="Google Sans"/>
          <w:color w:val="1f1f1f"/>
          <w:rtl w:val="0"/>
        </w:rPr>
        <w:t xml:space="preserve">。以目前约 7000 万的流通股本计算，预估的 Buyout Price 将落在 </w:t>
      </w:r>
      <w:r w:rsidDel="00000000" w:rsidR="00000000" w:rsidRPr="00000000">
        <w:rPr>
          <w:rFonts w:ascii="Google Sans" w:cs="Google Sans" w:eastAsia="Google Sans" w:hAnsi="Google Sans"/>
          <w:b w:val="1"/>
          <w:bCs w:val="1"/>
          <w:color w:val="1f1f1f"/>
          <w:rtl w:val="0"/>
        </w:rPr>
        <w:t xml:space="preserve">$115 至 $145 美元/股</w:t>
      </w:r>
      <w:r w:rsidDel="00000000" w:rsidR="00000000" w:rsidRPr="00000000">
        <w:rPr>
          <w:rFonts w:ascii="Google Sans" w:cs="Google Sans" w:eastAsia="Google Sans" w:hAnsi="Google Sans"/>
          <w:color w:val="1f1f1f"/>
          <w:rtl w:val="0"/>
        </w:rPr>
        <w:t xml:space="preserve"> 的区间，较当前股价存在极大的并购溢价空间。</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从宏观基本面切换到微观交易层面，资本的流动和资金链的韧性是检验 Biotech 估值合理性的最后一块试金石。</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股价复盘与市场情绪 (Sentiment)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在过去一年中，GPCR 的股价走势犹如一场压力测试。2025 年 12 月 ACCESS 顶线数据发布当天，受 11.3% 及 15.3% 惊艳减重数据的刺激，股价单日暴涨逾 100%，最高触及 $94.90，市场情绪达到沸点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。然而，进入 2026 年第一季度，随着大盘整体调整以及部分资金获利了结，股价在 3 月初回落并企稳在 $63 - $66 区间（对应市值约 44 亿美元）</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目前市场的情绪痛点在于“催化剂真空期”的预期差。部分短视资金担忧，在 2026 年下半年 Phase 3 正式启动之前，缺乏立竿见影的并购消息或新的震撼级数据发布，同时惧怕诺和诺德与礼来的先发优势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。然而，这种情绪错杀恰好为聪明的长线量化资金提供了极佳的入场窗口。</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资金生死线：彻底消除定增砸盘风险</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Biotech 投资法则中，“好数据公布前后的定增（Offering）砸盘”是收割散户的最残酷手段。但 Structure 给华尔街提供了一份无懈可击的资产负债表。 根据输入数据与公司的宏观简报，账面现金原标注为 7.99 亿美元。但深度挖掘 2026 年 2 月 26 日发布的最新 2025 财年第四季度及全年财报显示，管理层在 2025 年 12 月股价高光时刻，极为精准且聪明地完成了一笔高达 7.48 亿美元的超额认购公开增发（Upsized Public Offering）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实际 Runway 计算</w:t>
      </w:r>
      <w:r w:rsidDel="00000000" w:rsidR="00000000" w:rsidRPr="00000000">
        <w:rPr>
          <w:rFonts w:ascii="Google Sans" w:cs="Google Sans" w:eastAsia="Google Sans" w:hAnsi="Google Sans"/>
          <w:color w:val="1f1f1f"/>
          <w:rtl w:val="0"/>
        </w:rPr>
        <w:t xml:space="preserve">：截至 2025 年 12 月 31 日，公司账面拥有的现金、现金等价物及短期投资已飙升至 </w:t>
      </w:r>
      <w:r w:rsidDel="00000000" w:rsidR="00000000" w:rsidRPr="00000000">
        <w:rPr>
          <w:rFonts w:ascii="Google Sans" w:cs="Google Sans" w:eastAsia="Google Sans" w:hAnsi="Google Sans"/>
          <w:b w:val="1"/>
          <w:bCs w:val="1"/>
          <w:color w:val="1f1f1f"/>
          <w:rtl w:val="0"/>
        </w:rPr>
        <w:t xml:space="preserve">1.40 亿美元（即 14 亿美元）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。2025 年全年的研发支出（R&amp;D Burn Rate）为 2.25 亿美元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。即便我们采用极度保守的假设，认为 2026 年启动庞大的全球 Phase 3 试验会导致年化烧钱率急剧膨胀至 4 亿至 4.5 亿美元，这 14 亿美元的重兵器库也足以支撑公司独立运营至 </w:t>
      </w:r>
      <w:r w:rsidDel="00000000" w:rsidR="00000000" w:rsidRPr="00000000">
        <w:rPr>
          <w:rFonts w:ascii="Google Sans" w:cs="Google Sans" w:eastAsia="Google Sans" w:hAnsi="Google Sans"/>
          <w:b w:val="1"/>
          <w:bCs w:val="1"/>
          <w:color w:val="1f1f1f"/>
          <w:rtl w:val="0"/>
        </w:rPr>
        <w:t xml:space="preserve">2028 年年底</w:t>
      </w:r>
      <w:r w:rsidDel="00000000" w:rsidR="00000000" w:rsidRPr="00000000">
        <w:rPr>
          <w:rFonts w:ascii="Google Sans" w:cs="Google Sans" w:eastAsia="Google Sans" w:hAnsi="Google Sans"/>
          <w:color w:val="1f1f1f"/>
          <w:rtl w:val="0"/>
        </w:rPr>
        <w:t xml:space="preserve">，这完全覆盖了药物申报 NDA 的时间节点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：GPCR 存在定增砸盘风险的概率为零。这种强悍的财务生存期，使得管理层在进行任何 BD 合作或 M&amp;A 谈判时，都具备了“不给溢价就自己把药推上市”的核威慑能力。</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估值与目标价：华尔街共识 vs. rNPV 独立推演</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目前覆盖 GPCR 的 14 位华尔街顶尖分析师（包括 Goldman Sachs, JPMorgan, Guggenheim 等）给出的共识评级为“买入（Buy）”，12 个月平均目标价为 $103.14，共识中位数为 $112.00。最高目标价由 Guggenheim 在 2026 年 1 月调高至 $140.00，最低的保守预测也达到 $90.00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。相较于当前 $63 左右的现价，华尔街共识认为存在至少 60% 至 80% 的估值修复空间。</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为了剔除卖方研究可能存在的狂热滤镜，我们采用**风险调整净现值（rNPV）联合贴现现金流（DCF）**模型进行大模型独立冷酷估值推演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技术成功概率 (PTRS)</w:t>
      </w:r>
      <w:r w:rsidDel="00000000" w:rsidR="00000000" w:rsidRPr="00000000">
        <w:rPr>
          <w:rFonts w:ascii="Google Sans" w:cs="Google Sans" w:eastAsia="Google Sans" w:hAnsi="Google Sans"/>
          <w:color w:val="1f1f1f"/>
          <w:rtl w:val="0"/>
        </w:rPr>
        <w:t xml:space="preserve">：尽管神经科学或肿瘤类药物 Phase 2 后的成功率仅为 30% 左右，但鉴于 GLP-1 机制的高度验证性质、无肝毒性的记录、以及 2.5 mg 滴定策略完美解决脱落率问题，我们将 Aleniglipron 推进至获批的 PTRS 调高至行业上限水平，即 </w:t>
      </w:r>
      <w:r w:rsidDel="00000000" w:rsidR="00000000" w:rsidRPr="00000000">
        <w:rPr>
          <w:rFonts w:ascii="Google Sans" w:cs="Google Sans" w:eastAsia="Google Sans" w:hAnsi="Google Sans"/>
          <w:b w:val="1"/>
          <w:bCs w:val="1"/>
          <w:color w:val="1f1f1f"/>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峰值销售额 (Peak Sales) 与市场渗透率</w:t>
      </w:r>
      <w:r w:rsidDel="00000000" w:rsidR="00000000" w:rsidRPr="00000000">
        <w:rPr>
          <w:rFonts w:ascii="Google Sans" w:cs="Google Sans" w:eastAsia="Google Sans" w:hAnsi="Google Sans"/>
          <w:color w:val="1f1f1f"/>
          <w:rtl w:val="0"/>
        </w:rPr>
        <w:t xml:space="preserve">：保守预测 2030 年全球口服 GLP-1 市场规模达到 300 亿美元。假设 Aleniglipron 凭借 Best-in-class 的数据拿下 15% 的市场份额，其年化峰值销售额设定为保守的 </w:t>
      </w:r>
      <w:r w:rsidDel="00000000" w:rsidR="00000000" w:rsidRPr="00000000">
        <w:rPr>
          <w:rFonts w:ascii="Google Sans" w:cs="Google Sans" w:eastAsia="Google Sans" w:hAnsi="Google Sans"/>
          <w:b w:val="1"/>
          <w:bCs w:val="1"/>
          <w:color w:val="1f1f1f"/>
          <w:rtl w:val="0"/>
        </w:rPr>
        <w:t xml:space="preserve">$45亿至 $50亿美元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利润率与长期价值 (Terminal Value)</w:t>
      </w:r>
      <w:r w:rsidDel="00000000" w:rsidR="00000000" w:rsidRPr="00000000">
        <w:rPr>
          <w:rFonts w:ascii="Google Sans" w:cs="Google Sans" w:eastAsia="Google Sans" w:hAnsi="Google Sans"/>
          <w:color w:val="1f1f1f"/>
          <w:rtl w:val="0"/>
        </w:rPr>
        <w:t xml:space="preserve">：得益于小分子低廉的 COGS，运营利润率按稳态的 45% 计算。知识产权排他期（专利悬崖）至少延伸至 2041-2045 年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，设定终端增长率为 2%。</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贴现率 (WACC) 与成本模型</w:t>
      </w:r>
      <w:r w:rsidDel="00000000" w:rsidR="00000000" w:rsidRPr="00000000">
        <w:rPr>
          <w:rFonts w:ascii="Google Sans" w:cs="Google Sans" w:eastAsia="Google Sans" w:hAnsi="Google Sans"/>
          <w:color w:val="1f1f1f"/>
          <w:rtl w:val="0"/>
        </w:rPr>
        <w:t xml:space="preserve">：由于高达 14 亿现金的存在大幅降低了破产和融资的系统性风险（Beta），WACC 设定为 10%。在现金流支出端，前置扣除未来三年内约 7 亿美元的 Phase 3 临床支出及商业化搭台成本。</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独立推导结果</w:t>
      </w:r>
      <w:r w:rsidDel="00000000" w:rsidR="00000000" w:rsidRPr="00000000">
        <w:rPr>
          <w:rFonts w:ascii="Google Sans" w:cs="Google Sans" w:eastAsia="Google Sans" w:hAnsi="Google Sans"/>
          <w:color w:val="1f1f1f"/>
          <w:rtl w:val="0"/>
        </w:rPr>
        <w:t xml:space="preserve">：经严苛风险折现后，Aleniglipron 单一核心资产的 rNPV 即达到 </w:t>
      </w:r>
      <w:r w:rsidDel="00000000" w:rsidR="00000000" w:rsidRPr="00000000">
        <w:rPr>
          <w:rFonts w:ascii="Google Sans" w:cs="Google Sans" w:eastAsia="Google Sans" w:hAnsi="Google Sans"/>
          <w:b w:val="1"/>
          <w:bCs w:val="1"/>
          <w:color w:val="1f1f1f"/>
          <w:rtl w:val="0"/>
        </w:rPr>
        <w:t xml:space="preserve">62 亿美元</w:t>
      </w:r>
      <w:r w:rsidDel="00000000" w:rsidR="00000000" w:rsidRPr="00000000">
        <w:rPr>
          <w:rFonts w:ascii="Google Sans" w:cs="Google Sans" w:eastAsia="Google Sans" w:hAnsi="Google Sans"/>
          <w:color w:val="1f1f1f"/>
          <w:rtl w:val="0"/>
        </w:rPr>
        <w:t xml:space="preserve">。叠加 Amylin（ACCG-2671）早期管线的期权价值（保守给予 8 亿美元估值），加上 14 亿美元的净现金储备，Structure 整体合理的企业内在价值（Intrinsic Value）应落在 </w:t>
      </w:r>
      <w:r w:rsidDel="00000000" w:rsidR="00000000" w:rsidRPr="00000000">
        <w:rPr>
          <w:rFonts w:ascii="Google Sans" w:cs="Google Sans" w:eastAsia="Google Sans" w:hAnsi="Google Sans"/>
          <w:b w:val="1"/>
          <w:bCs w:val="1"/>
          <w:color w:val="1f1f1f"/>
          <w:rtl w:val="0"/>
        </w:rPr>
        <w:t xml:space="preserve">84 亿至 85 亿美元</w:t>
      </w:r>
      <w:r w:rsidDel="00000000" w:rsidR="00000000" w:rsidRPr="00000000">
        <w:rPr>
          <w:rFonts w:ascii="Google Sans" w:cs="Google Sans" w:eastAsia="Google Sans" w:hAnsi="Google Sans"/>
          <w:color w:val="1f1f1f"/>
          <w:rtl w:val="0"/>
        </w:rPr>
        <w:t xml:space="preserve"> 的区间。按照目前约 7000 万股的完全稀释流通股本计算，</w:t>
      </w:r>
      <w:r w:rsidDel="00000000" w:rsidR="00000000" w:rsidRPr="00000000">
        <w:rPr>
          <w:rFonts w:ascii="Google Sans" w:cs="Google Sans" w:eastAsia="Google Sans" w:hAnsi="Google Sans"/>
          <w:b w:val="1"/>
          <w:bCs w:val="1"/>
          <w:color w:val="1f1f1f"/>
          <w:rtl w:val="0"/>
        </w:rPr>
        <w:t xml:space="preserve">大模型独立预测 Target Price 设定为 $120.00</w:t>
      </w:r>
      <w:r w:rsidDel="00000000" w:rsidR="00000000" w:rsidRPr="00000000">
        <w:rPr>
          <w:rFonts w:ascii="Google Sans" w:cs="Google Sans" w:eastAsia="Google Sans" w:hAnsi="Google Sans"/>
          <w:color w:val="1f1f1f"/>
          <w:rtl w:val="0"/>
        </w:rPr>
        <w:t xml:space="preserve">。因此，当前的市价被资本市场显著低估。</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生死局总结：被恐慌情绪错杀的绝对 Alpha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经过上述在科学、临床统计学、竞争专利与财务模型上的穿透式扫描，最终的尽职调查判决（Final Verdict）极其明确：Structure Therapeutics（GPCR）当前的估值被市场</w:t>
      </w:r>
      <w:r w:rsidDel="00000000" w:rsidR="00000000" w:rsidRPr="00000000">
        <w:rPr>
          <w:rFonts w:ascii="Google Sans" w:cs="Google Sans" w:eastAsia="Google Sans" w:hAnsi="Google Sans"/>
          <w:b w:val="1"/>
          <w:bCs w:val="1"/>
          <w:color w:val="1f1f1f"/>
          <w:rtl w:val="0"/>
        </w:rPr>
        <w:t xml:space="preserve">严重低估（Significantly Undervalued）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市场因为畏惧漫长的 Phase 3 审批时间线以及对礼来/诺和诺德的先发优势感到恐慌，而给出了过度的风险折价。然而，理性的量化投研揭示了四个无法辩驳的底层事实：</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第一，Aleniglipron 的 15.3% 减重药效与“无平台期”的长期曲线，已具备冲击 Best-in-class 的绝对实力。第二，肝毒性的零发生率和极低的脱落率（0% 的 AE 停药率）彻底排除了最大的安全性地雷。第三，含有氧化膦的化学结构不仅确保了极高的口服生物利用度，更构建了连罗氏都不得不支付 1 亿美元低头的专利壁垒。第四，14 亿美元的重装甲现金储备，使得做空者无隙可乘。</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2026 年医药行业并购逻辑重构的当下，这不仅是一家极具潜力的独立商业化 Biotech，更是具备被溢价收购的“完美猎物”。</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核心催化剂与情景推演 (Scenarios &amp; Price Action)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根据医学会议前瞻与公开信息，下一个超级催化剂（Catalyst）窗口将集中在 2026 年第一季度（ACCESS II 44 周顶线数据发布）以及 2026 年 7 月 31 日前后的期权异动期（对应 Phase 3 正式开展或 ACCG-2671 初步数据释出）</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。针对接下来的演化路径，进行以下冷酷的情景推演：</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情景假设 (Scenarios)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触发条件预判 (Catalysts &amp; Fundamental Assumptions)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大模型独立目标价预估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概率权重估算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牛市假设 (Bull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 年一季度公布的 ACCESS II 44 周数据证实体重下降进一步突破 16%-17% 且无任何安全隐患爆发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。下半年 Amylin 激动剂（ACCG-2671）的 Phase 1 数据惊艳，证实了与 GLP-1 复方联用的磅礴潜力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。辉瑞或罗氏等因管线焦虑被迫提前入场，引发实质性的竞购战（Bidding War）。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$135 - $150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(对应市值 $95亿-$105亿)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基准假设 (Base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 周长期数据保持稳健（维持 15% 以上），未见反弹，Phase 3 全球关键临床在 2026 年下半年按期顺利推进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。未发生立即并购，公司独立运转。华尔街长线资金根据临床进展降低风险折价，rNPV 价值随时间推移逐渐释放，贴近分析师平均共识。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$105 - $120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(对应市值 $75亿-$85亿)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熊市假设 (Bear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 44 周长周期追踪中，尾部极高剂量组出现个别难以解释的不可逆转氨酶（ALT/AST）持续升高导致 FDA 提出黑框警告疑虑；或者 Amylin (ACCG-2671) 在 Phase 1 因心脏安全性等问题被迫终止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。核心资产的商业化预期遭重大削弱。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$35 - $45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(跌破现金资产与清算残值附近)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交易执行洞察</w:t>
      </w:r>
      <w:r w:rsidDel="00000000" w:rsidR="00000000" w:rsidRPr="00000000">
        <w:rPr>
          <w:rFonts w:ascii="Google Sans" w:cs="Google Sans" w:eastAsia="Google Sans" w:hAnsi="Google Sans"/>
          <w:color w:val="1f1f1f"/>
          <w:rtl w:val="0"/>
        </w:rPr>
        <w:t xml:space="preserve">：以目前的市盈率与大幅回调后的股价位置（约 $63.80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），GPCR 提供了一个极具吸引力的非对称性收益风险结构（Asymmetric Risk-Reward Profile）。向下的空间有高达 14 亿美元（合每股近 20 美元）的净现金及专利残值作为硬托底，而向上的空间（尤其是并购期权兑现）具有翻倍甚至 130% 的爆破潜力。建议在 2026 年具有决定性意义的 ACCESS II 44周顶线数据发布之前，逢低利用市场恐慌情绪完成战略性建仓配置。</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Raymond C. Stevens, Ph.D. | Danaher,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https://www.danaher.com/raymond-c-stevens-phd</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Raymond Stevens, Ph.D. - Structure Therapeutics,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https://structuretx.com/team/raymond-stevens-ph-d/</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tm225197-10_drsa - none - 54.6409407s - SEC.gov,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https://www.sec.gov/Archives/edgar/data/1888886/000110465923003415/tm225197-10_drsa.htm</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Fourth Quarter and Full Year 2025 Financial Results and Recent Highlights,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https://ir.structuretx.com/news-releases/news-release-details/structure-therapeutics-reports-fourth-quarter-and-full-year-2025</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Positive Topline Data from ACCESS Program for its Once-Daily Oral Small Molecule GLP-1 Receptor Agonist, Aleniglipron,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https://ir.structuretx.com/news-releases/news-release-details/structure-therapeutics-reports-positive-topline-data-access</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Aleniglipron: An Oral, Small Molecule GLP-1R Agonist Fast-Follower from Structure Therapeutics - Drug Hunter,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https://drughunter.com/molecule/aleniglipron</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Releases - Structure Therapeutics,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https://ir.structuretx.com/press-releases</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First Quarter 2025 Financial Results and Recent Highlights,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https://ir.structuretx.com/news-releases/news-release-details/structure-therapeutics-reports-first-quarter-2025-financial</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GSBR-1290 Obesity Topline Data Presentation - Structure Therapeutics,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https://ir.structuretx.com/static-files/775ca535-9bd3-455e-a41a-44dea273c90d</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Fourth Quarter and Full Year 2025 Financial Results and Recent Highlights,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https://ir.structuretx.com/news-releases/news-release-details/structure-therapeutics-reports-fourth-quarter-and-full-year-2025/</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(NASDAQ: GPCR) turns Q4 profit as obesity pipeline advances,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https://www.stocktitan.net/sec-filings/GPCR/8-k-structure-therapeutics-inc-reports-material-event-c77fe6d26ad9.html</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Pfizer Provides Update on Oral GLP-1 Receptor Agonist Danuglipron,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https://www.pfizer.com/news/press-release/press-release-detail/pfizer-provides-update-oral-glp-1-receptor-agonist</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Touts Over 6% Weight Loss for GLP-1 Pill in Phase IIa Study - BioSpace,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https://www.biospace.com/structure-touts-over-6-percent-weight-loss-for-glp-1-pill-in-phase-iia-study</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Positive Topline Data from its Phase 2a Obesity Study and Capsule to Tablet PK Study for its Oral Non-Peptide Small Molecule GLP-1 Receptor Agonist GSBR-1290,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https://ir.structuretx.com/news-releases/news-release-details/structure-therapeutics-reports-positive-topline-data-its-phase/</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Stock Soars as Oral GLP-1 Generates 'Highly Competitive' Weight Loss,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https://www.biospace.com/drug-development/structure-stock-soars-as-oral-glp-1-generates-highly-competitive-weight-loss</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Announces Initiation of Phase 1 Clinical Study of Oral Small Molecule Amylin Receptor Agonist ACCG-2671 for the Treatment of Obesity,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https://ir.structuretx.com/news-releases/news-release-details/structure-therapeutics-announces-initiation-phase-1-clinical</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Outlook for Obesity in 2026: From Consolidation to Acceleration | IQVIA,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https://www.iqvia.com/locations/emea/blogs/2026/01/outlook-for-obesity-in-2026</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GLP-1 Pipeline Update: February 2026 - Prime Therapeutics - Portal,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https://www.primetherapeutics.com/glp-1-pipeline-update-february-2026</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touts potential rival to Lilly obesity pill, stock surges - FirstWord Pharma,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https://firstwordpharma.com/story/5862986</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Projected GLP-1 Trends in 2026 - GoodRx,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https://www.goodrx.com/classes/glp-1-agonists/glp-1-trends</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Hengrui, Kailera tout positive results for dual-acting obesity pill | BioPharma Dive,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https://www.biopharmadive.com/news/kailera-hengrui-oral-ribupatide-study-results-china/811718/</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Kailera, Hengrui tout up to 12% weight loss in midstage study for obesity pill - Fierce Biotech,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https://www.fiercebiotech.com/biotech/kailera-hengrui-tout-promising-mid-stage-results-obesity-pill</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MindRank Announces Positive Phase 2b Results for AI-Designed Oral GLP-1 Receptor Agonist MDR-001 in Adults with Obesity or Overweight,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https://www.mindrank.ai/en/news/119</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MindRank Announces Positive 12-week Once-Daily（QD）Results for AI-Designed Oral GLP-1 Agonist MDR-001 in Adults with Obesity,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https://www.mindrank.ai/en/news/136</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Aleniglipron - New Drug Approvals,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https://newdrugapprovals.org/2025/12/30/aleniglipron/</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Inc._December 31, 2024 - SEC.gov,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https://www.sec.gov/Archives/edgar/data/1888886/000155837025001826/gpcr-20241231x10k.htm</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Roche Clears Obesity Pill Legal Concerns With Structure Patent Agreement - BioSpace,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https://www.biospace.com/deals/roche-clears-obesity-pill-legal-concerns-with-structure-patent-agreement</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GLP-1 Receptor Agonist Business Analysis Report 2026: - GlobeNewswire,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https://www.globenewswire.com/news-release/2026/03/04/3249142/28124/en/GLP-1-Receptor-Agonist-Business-Analysis-Report-2026-Market-to-Reach-137-4-Billion-by-2030-Clinical-Trials-Exploring-GLP-1-Role-in-NAFLD-and-NASH-Unlock-Future-Opportunities.html</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leading GLP-1 contenders in pharma's race for an obesity pill | PharmaVoice,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https://www.pharmavoice.com/news/glp-1-pharma-obesity-pill-drug-novo-viking-structure-lilly/808195/</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Contender Rises: China's Hengrui and Innovent Challenge Zepbound and Wegovy in Global Weight-Loss Drug Race - GeneOnline News,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https://www.geneonline.com/a-new-contender-rises-chinas-hengrui-and-innovent-challenge-zepbound-and-wegovy-in-global-weight-loss-drug-race/</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Prices of Expensive Diabetes Medicines and Weight-loss Drugs Are Drastically Higher Than Production Costs,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https://medicine.yale.edu/news-article/prices-of-expensive-diabetes-medicines-and-weight-loss-drugs-are-drastically-higher-than-production-costs/</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GLP-1 drugs worth their current cost? - UChicago Medicine,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https://www.uchicagomedicine.org/forefront/research-and-discoveries-articles/glp-1-drug-pricing-analysis</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GLP-1 Market Still a Blockbuster Opportunity for Investors - Kavout,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https://www.kavout.com/market-lens/is-the-glp-1-market-still-a-blockbuster-opportunity-for-investors</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 Loss Pills vs. Injections: How Oral GLP-1 Medications Compare to Injectable Options,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https://www.doctronic.ai/blog/weight-loss-pills-vs-injections/</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Home,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https://structuretx.com/</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Cost-effectiveness analysis of once-daily oral semaglutide versus placebo and subcutaneous glucagon-like peptide-1 - Frontiers,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https://www.frontiersin.org/journals/pharmacology/articles/10.3389/fphar.2023.1226778/pdf</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SWOT analysis: oral GLP-1 stock faces pivotal phase - Investing.com,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https://www.investing.com/news/swot-analysis/structure-therapeutics-swot-analysis-oral-glp1-stock-faces-pivotal-phase-93CH-4191834</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emerges as top M&amp;A target for big pharma, Axios says - TipRanks,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https://www.tipranks.com/news/the-fly/structure-therapeutics-emerges-as-top-ma-target-for-big-pharma-axios-says-thefly</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happened at JPM 2026? - Medable,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https://www.medable.com/knowledge-center/blog-what-happened-at-jpm-2026</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 2026: What it revealed about biotech's new reality - pharmaphorum,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https://pharmaphorum.com/market-access/jpm-2026-what-it-revealed-about-biotechs-new-reality</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Biotechs That Could Be Big Pharma's Next M&amp;A Target - BioSpace,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https://www.biospace.com/business/6-biotechs-that-could-be-big-pharmas-next-m-a-target</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GLP-1 Gold Rush: Lilly, Novo and New Rivals Chase a $260 Billion Market,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https://www.geneonline.com/the-glp-1-gold-rush-lilly-novo-and-new-rivals-chase-a-260-billion-market/</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 M&amp;A, China deals and GLP-1s: What to watch in 2026,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https://www.drugdiscoverytrends.com/pharma-ma-china-deals-and-glp-1s-what-to-watch-in-2026/</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 Investors &amp; Media, accessed March 7, 2026, </w:t>
      </w:r>
      <w:hyperlink r:id="rId54">
        <w:r w:rsidDel="00000000" w:rsidR="00000000" w:rsidRPr="00000000">
          <w:rPr>
            <w:rFonts w:ascii="Google Sans" w:cs="Google Sans" w:eastAsia="Google Sans" w:hAnsi="Google Sans"/>
            <w:color w:val="0000ee"/>
            <w:sz w:val="24"/>
            <w:szCs w:val="24"/>
            <w:u w:val="single"/>
            <w:rtl w:val="0"/>
          </w:rPr>
          <w:t xml:space="preserve">https://ir.structuretx.com/</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This Stock Double Again in 2026? | The Motley Fool, accessed March 7, 2026, </w:t>
      </w:r>
      <w:hyperlink r:id="rId55">
        <w:r w:rsidDel="00000000" w:rsidR="00000000" w:rsidRPr="00000000">
          <w:rPr>
            <w:rFonts w:ascii="Google Sans" w:cs="Google Sans" w:eastAsia="Google Sans" w:hAnsi="Google Sans"/>
            <w:color w:val="0000ee"/>
            <w:sz w:val="24"/>
            <w:szCs w:val="24"/>
            <w:u w:val="single"/>
            <w:rtl w:val="0"/>
          </w:rPr>
          <w:t xml:space="preserve">https://www.fool.com/investing/2026/01/11/can-this-stock-double-again-in-2026/</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Inc. Stock Forecast | GPCR Price Target &amp; Analyst Ratings - MLQ.ai, accessed March 7, 2026, </w:t>
      </w:r>
      <w:hyperlink r:id="rId56">
        <w:r w:rsidDel="00000000" w:rsidR="00000000" w:rsidRPr="00000000">
          <w:rPr>
            <w:rFonts w:ascii="Google Sans" w:cs="Google Sans" w:eastAsia="Google Sans" w:hAnsi="Google Sans"/>
            <w:color w:val="0000ee"/>
            <w:sz w:val="24"/>
            <w:szCs w:val="24"/>
            <w:u w:val="single"/>
            <w:rtl w:val="0"/>
          </w:rPr>
          <w:t xml:space="preserve">https://mlq.ai/stocks/GPCR/stock-forecast/</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Target &amp; Analyst Coverage - MLQ.ai | AI for investors, accessed March 7, 2026, </w:t>
      </w:r>
      <w:hyperlink r:id="rId57">
        <w:r w:rsidDel="00000000" w:rsidR="00000000" w:rsidRPr="00000000">
          <w:rPr>
            <w:rFonts w:ascii="Google Sans" w:cs="Google Sans" w:eastAsia="Google Sans" w:hAnsi="Google Sans"/>
            <w:color w:val="0000ee"/>
            <w:sz w:val="24"/>
            <w:szCs w:val="24"/>
            <w:u w:val="single"/>
            <w:rtl w:val="0"/>
          </w:rPr>
          <w:t xml:space="preserve">https://mlq.ai/stocks/GPCR/price-target/</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shares could rise on obesity drug data, Cantor says - Investing.com, accessed March 7, 2026, </w:t>
      </w:r>
      <w:hyperlink r:id="rId58">
        <w:r w:rsidDel="00000000" w:rsidR="00000000" w:rsidRPr="00000000">
          <w:rPr>
            <w:rFonts w:ascii="Google Sans" w:cs="Google Sans" w:eastAsia="Google Sans" w:hAnsi="Google Sans"/>
            <w:color w:val="0000ee"/>
            <w:sz w:val="24"/>
            <w:szCs w:val="24"/>
            <w:u w:val="single"/>
            <w:rtl w:val="0"/>
          </w:rPr>
          <w:t xml:space="preserve">https://www.investing.com/news/analyst-ratings/structure-therapeutics-shares-could-rise-on-obesity-drug-data-cantor-says-93CH-4532250</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launches proposed $500M ADS offering | GPCR Stock News, accessed March 7, 2026, </w:t>
      </w:r>
      <w:hyperlink r:id="rId59">
        <w:r w:rsidDel="00000000" w:rsidR="00000000" w:rsidRPr="00000000">
          <w:rPr>
            <w:rFonts w:ascii="Google Sans" w:cs="Google Sans" w:eastAsia="Google Sans" w:hAnsi="Google Sans"/>
            <w:color w:val="0000ee"/>
            <w:sz w:val="24"/>
            <w:szCs w:val="24"/>
            <w:u w:val="single"/>
            <w:rtl w:val="0"/>
          </w:rPr>
          <w:t xml:space="preserve">https://www.stocktitan.net/news/GPCR/structure-therapeutics-announces-proposed-500-million-public-5397ei9l99os.html</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Fourth Quarter and Full Year 2025 Financial Results and Recent Highlights, accessed March 7, 2026, </w:t>
      </w:r>
      <w:hyperlink r:id="rId60">
        <w:r w:rsidDel="00000000" w:rsidR="00000000" w:rsidRPr="00000000">
          <w:rPr>
            <w:rFonts w:ascii="Google Sans" w:cs="Google Sans" w:eastAsia="Google Sans" w:hAnsi="Google Sans"/>
            <w:color w:val="0000ee"/>
            <w:sz w:val="24"/>
            <w:szCs w:val="24"/>
            <w:u w:val="single"/>
            <w:rtl w:val="0"/>
          </w:rPr>
          <w:t xml:space="preserve">https://ir.structuretx.com/node/8286/pdf</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Fourth Quarter and Full Year 2025 Financial Results and Recent Highlights - Stock Titan, accessed March 7, 2026, </w:t>
      </w:r>
      <w:hyperlink r:id="rId61">
        <w:r w:rsidDel="00000000" w:rsidR="00000000" w:rsidRPr="00000000">
          <w:rPr>
            <w:rFonts w:ascii="Google Sans" w:cs="Google Sans" w:eastAsia="Google Sans" w:hAnsi="Google Sans"/>
            <w:color w:val="0000ee"/>
            <w:sz w:val="24"/>
            <w:szCs w:val="24"/>
            <w:u w:val="single"/>
            <w:rtl w:val="0"/>
          </w:rPr>
          <w:t xml:space="preserve">https://www.stocktitan.net/news/GPCR/structure-therapeutics-reports-fourth-quarter-and-full-year-2025-np2t8p15i3oq.html</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Guggenheim raises Structure Therapeutics stock price target to $140 on obesity drug confidence - Investing.com, accessed March 7, 2026, </w:t>
      </w:r>
      <w:hyperlink r:id="rId62">
        <w:r w:rsidDel="00000000" w:rsidR="00000000" w:rsidRPr="00000000">
          <w:rPr>
            <w:rFonts w:ascii="Google Sans" w:cs="Google Sans" w:eastAsia="Google Sans" w:hAnsi="Google Sans"/>
            <w:color w:val="0000ee"/>
            <w:sz w:val="24"/>
            <w:szCs w:val="24"/>
            <w:u w:val="single"/>
            <w:rtl w:val="0"/>
          </w:rPr>
          <w:t xml:space="preserve">https://www.investing.com/news/analyst-ratings/guggenheim-raises-structure-therapeutics-stock-price-target-to-140-on-obesity-drug-confidence-93CH-4455002</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(GPCR) Stock Forecast and Price Target 2026 - MarketBeat, accessed March 7, 2026, </w:t>
      </w:r>
      <w:hyperlink r:id="rId63">
        <w:r w:rsidDel="00000000" w:rsidR="00000000" w:rsidRPr="00000000">
          <w:rPr>
            <w:rFonts w:ascii="Google Sans" w:cs="Google Sans" w:eastAsia="Google Sans" w:hAnsi="Google Sans"/>
            <w:color w:val="0000ee"/>
            <w:sz w:val="24"/>
            <w:szCs w:val="24"/>
            <w:u w:val="single"/>
            <w:rtl w:val="0"/>
          </w:rPr>
          <w:t xml:space="preserve">https://www.marketbeat.com/stocks/NASDAQ/GPCR/forecast/</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Ultimate Pharma &amp; Biotech Valuation Guide - BiopharmaVantage, accessed March 7, 2026, </w:t>
      </w:r>
      <w:hyperlink r:id="rId64">
        <w:r w:rsidDel="00000000" w:rsidR="00000000" w:rsidRPr="00000000">
          <w:rPr>
            <w:rFonts w:ascii="Google Sans" w:cs="Google Sans" w:eastAsia="Google Sans" w:hAnsi="Google Sans"/>
            <w:color w:val="0000ee"/>
            <w:sz w:val="24"/>
            <w:szCs w:val="24"/>
            <w:u w:val="single"/>
            <w:rtl w:val="0"/>
          </w:rPr>
          <w:t xml:space="preserve">https://www.biopharmavantage.com/pharma-biotech-valuation-best-practices</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Definitive Guide to Valuing Pharmaceutical and Biotech Companies - DrugPatentWatch, accessed March 7, 2026, </w:t>
      </w:r>
      <w:hyperlink r:id="rId65">
        <w:r w:rsidDel="00000000" w:rsidR="00000000" w:rsidRPr="00000000">
          <w:rPr>
            <w:rFonts w:ascii="Google Sans" w:cs="Google Sans" w:eastAsia="Google Sans" w:hAnsi="Google Sans"/>
            <w:color w:val="0000ee"/>
            <w:sz w:val="24"/>
            <w:szCs w:val="24"/>
            <w:u w:val="single"/>
            <w:rtl w:val="0"/>
          </w:rPr>
          <w:t xml:space="preserve">https://www.drugpatentwatch.com/blog/valuation-of-pharma-companies-5-key-considerations-2/</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Biotech Asset Valuation Methods: A Practitioner's Guide - Analysis Group, accessed March 7, 2026, </w:t>
      </w:r>
      <w:hyperlink r:id="rId66">
        <w:r w:rsidDel="00000000" w:rsidR="00000000" w:rsidRPr="00000000">
          <w:rPr>
            <w:rFonts w:ascii="Google Sans" w:cs="Google Sans" w:eastAsia="Google Sans" w:hAnsi="Google Sans"/>
            <w:color w:val="0000ee"/>
            <w:sz w:val="24"/>
            <w:szCs w:val="24"/>
            <w:u w:val="single"/>
            <w:rtl w:val="0"/>
          </w:rPr>
          <w:t xml:space="preserve">https://www.analysisgroup.com/globalassets/insights/publishing/2024-biotech-asset-valuation-methods.pdf</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Valuing Pharmaceutical Assets: When to Use NPV vs rNPV - Alacrita Consulting, accessed March 7, 2026, </w:t>
      </w:r>
      <w:hyperlink r:id="rId67">
        <w:r w:rsidDel="00000000" w:rsidR="00000000" w:rsidRPr="00000000">
          <w:rPr>
            <w:rFonts w:ascii="Google Sans" w:cs="Google Sans" w:eastAsia="Google Sans" w:hAnsi="Google Sans"/>
            <w:color w:val="0000ee"/>
            <w:sz w:val="24"/>
            <w:szCs w:val="24"/>
            <w:u w:val="single"/>
            <w:rtl w:val="0"/>
          </w:rPr>
          <w:t xml:space="preserve">https://www.alacrita.com/whitepapers/valuing-pharmaceutical-assets-when-to-use-npv-vs-rnpv</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oral GLP-1 shows up to 15.3% weight loss | GPCR Stock News, accessed March 7, 2026, </w:t>
      </w:r>
      <w:hyperlink r:id="rId68">
        <w:r w:rsidDel="00000000" w:rsidR="00000000" w:rsidRPr="00000000">
          <w:rPr>
            <w:rFonts w:ascii="Google Sans" w:cs="Google Sans" w:eastAsia="Google Sans" w:hAnsi="Google Sans"/>
            <w:color w:val="0000ee"/>
            <w:sz w:val="24"/>
            <w:szCs w:val="24"/>
            <w:u w:val="single"/>
            <w:rtl w:val="0"/>
          </w:rPr>
          <w:t xml:space="preserve">https://www.stocktitan.net/news/GPCR/structure-therapeutics-reports-positive-topline-data-from-access-wn6mj14k9ovt.html</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Week of July 2026 Options Trading For Structure Therapeutics (GPCR) - Nasdaq, accessed March 7, 2026, </w:t>
      </w:r>
      <w:hyperlink r:id="rId69">
        <w:r w:rsidDel="00000000" w:rsidR="00000000" w:rsidRPr="00000000">
          <w:rPr>
            <w:rFonts w:ascii="Google Sans" w:cs="Google Sans" w:eastAsia="Google Sans" w:hAnsi="Google Sans"/>
            <w:color w:val="0000ee"/>
            <w:sz w:val="24"/>
            <w:szCs w:val="24"/>
            <w:u w:val="single"/>
            <w:rtl w:val="0"/>
          </w:rPr>
          <w:t xml:space="preserve">https://www.nasdaq.com/articles/first-week-july-2026-options-trading-structure-therapeutics-gpcr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neonline.com/a-new-contender-rises-chinas-hengrui-and-innovent-challenge-zepbound-and-wegovy-in-global-weight-loss-drug-race/" TargetMode="External"/><Relationship Id="rId42" Type="http://schemas.openxmlformats.org/officeDocument/2006/relationships/hyperlink" Target="https://www.uchicagomedicine.org/forefront/research-and-discoveries-articles/glp-1-drug-pricing-analysis" TargetMode="External"/><Relationship Id="rId41" Type="http://schemas.openxmlformats.org/officeDocument/2006/relationships/hyperlink" Target="https://medicine.yale.edu/news-article/prices-of-expensive-diabetes-medicines-and-weight-loss-drugs-are-drastically-higher-than-production-costs/" TargetMode="External"/><Relationship Id="rId44" Type="http://schemas.openxmlformats.org/officeDocument/2006/relationships/hyperlink" Target="https://www.doctronic.ai/blog/weight-loss-pills-vs-injections/" TargetMode="External"/><Relationship Id="rId43" Type="http://schemas.openxmlformats.org/officeDocument/2006/relationships/hyperlink" Target="https://www.kavout.com/market-lens/is-the-glp-1-market-still-a-blockbuster-opportunity-for-investors" TargetMode="External"/><Relationship Id="rId46" Type="http://schemas.openxmlformats.org/officeDocument/2006/relationships/hyperlink" Target="https://www.frontiersin.org/journals/pharmacology/articles/10.3389/fphar.2023.1226778/pdf" TargetMode="External"/><Relationship Id="rId45" Type="http://schemas.openxmlformats.org/officeDocument/2006/relationships/hyperlink" Target="https://structuretx.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tipranks.com/news/the-fly/structure-therapeutics-emerges-as-top-ma-target-for-big-pharma-axios-says-thefly" TargetMode="External"/><Relationship Id="rId47" Type="http://schemas.openxmlformats.org/officeDocument/2006/relationships/hyperlink" Target="https://www.investing.com/news/swot-analysis/structure-therapeutics-swot-analysis-oral-glp1-stock-faces-pivotal-phase-93CH-4191834" TargetMode="External"/><Relationship Id="rId49" Type="http://schemas.openxmlformats.org/officeDocument/2006/relationships/hyperlink" Target="https://www.medable.com/knowledge-center/blog-what-happened-at-jpm-2026"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www.biopharmadive.com/news/kailera-hengrui-oral-ribupatide-study-results-china/811718/" TargetMode="External"/><Relationship Id="rId30" Type="http://schemas.openxmlformats.org/officeDocument/2006/relationships/hyperlink" Target="https://www.goodrx.com/classes/glp-1-agonists/glp-1-trends" TargetMode="External"/><Relationship Id="rId33" Type="http://schemas.openxmlformats.org/officeDocument/2006/relationships/hyperlink" Target="https://www.mindrank.ai/en/news/119" TargetMode="External"/><Relationship Id="rId32" Type="http://schemas.openxmlformats.org/officeDocument/2006/relationships/hyperlink" Target="https://www.fiercebiotech.com/biotech/kailera-hengrui-tout-promising-mid-stage-results-obesity-pill" TargetMode="External"/><Relationship Id="rId35" Type="http://schemas.openxmlformats.org/officeDocument/2006/relationships/hyperlink" Target="https://newdrugapprovals.org/2025/12/30/aleniglipron/" TargetMode="External"/><Relationship Id="rId34" Type="http://schemas.openxmlformats.org/officeDocument/2006/relationships/hyperlink" Target="https://www.mindrank.ai/en/news/136" TargetMode="External"/><Relationship Id="rId37" Type="http://schemas.openxmlformats.org/officeDocument/2006/relationships/hyperlink" Target="https://www.biospace.com/deals/roche-clears-obesity-pill-legal-concerns-with-structure-patent-agreement" TargetMode="External"/><Relationship Id="rId36" Type="http://schemas.openxmlformats.org/officeDocument/2006/relationships/hyperlink" Target="https://www.sec.gov/Archives/edgar/data/1888886/000155837025001826/gpcr-20241231x10k.htm" TargetMode="External"/><Relationship Id="rId39" Type="http://schemas.openxmlformats.org/officeDocument/2006/relationships/hyperlink" Target="https://www.pharmavoice.com/news/glp-1-pharma-obesity-pill-drug-novo-viking-structure-lilly/808195/" TargetMode="External"/><Relationship Id="rId38" Type="http://schemas.openxmlformats.org/officeDocument/2006/relationships/hyperlink" Target="https://www.globenewswire.com/news-release/2026/03/04/3249142/28124/en/GLP-1-Receptor-Agonist-Business-Analysis-Report-2026-Market-to-Reach-137-4-Billion-by-2030-Clinical-Trials-Exploring-GLP-1-Role-in-NAFLD-and-NASH-Unlock-Future-Opportunities.html" TargetMode="External"/><Relationship Id="rId62" Type="http://schemas.openxmlformats.org/officeDocument/2006/relationships/hyperlink" Target="https://www.investing.com/news/analyst-ratings/guggenheim-raises-structure-therapeutics-stock-price-target-to-140-on-obesity-drug-confidence-93CH-4455002" TargetMode="External"/><Relationship Id="rId61" Type="http://schemas.openxmlformats.org/officeDocument/2006/relationships/hyperlink" Target="https://www.stocktitan.net/news/GPCR/structure-therapeutics-reports-fourth-quarter-and-full-year-2025-np2t8p15i3oq.html" TargetMode="External"/><Relationship Id="rId20" Type="http://schemas.openxmlformats.org/officeDocument/2006/relationships/hyperlink" Target="https://ir.structuretx.com/news-releases/news-release-details/structure-therapeutics-reports-fourth-quarter-and-full-year-2025/" TargetMode="External"/><Relationship Id="rId64" Type="http://schemas.openxmlformats.org/officeDocument/2006/relationships/hyperlink" Target="https://www.biopharmavantage.com/pharma-biotech-valuation-best-practices" TargetMode="External"/><Relationship Id="rId63" Type="http://schemas.openxmlformats.org/officeDocument/2006/relationships/hyperlink" Target="https://www.marketbeat.com/stocks/NASDAQ/GPCR/forecast/" TargetMode="External"/><Relationship Id="rId22" Type="http://schemas.openxmlformats.org/officeDocument/2006/relationships/hyperlink" Target="https://www.pfizer.com/news/press-release/press-release-detail/pfizer-provides-update-oral-glp-1-receptor-agonist" TargetMode="External"/><Relationship Id="rId66" Type="http://schemas.openxmlformats.org/officeDocument/2006/relationships/hyperlink" Target="https://www.analysisgroup.com/globalassets/insights/publishing/2024-biotech-asset-valuation-methods.pdf" TargetMode="External"/><Relationship Id="rId21" Type="http://schemas.openxmlformats.org/officeDocument/2006/relationships/hyperlink" Target="https://www.stocktitan.net/sec-filings/GPCR/8-k-structure-therapeutics-inc-reports-material-event-c77fe6d26ad9.html" TargetMode="External"/><Relationship Id="rId65" Type="http://schemas.openxmlformats.org/officeDocument/2006/relationships/hyperlink" Target="https://www.drugpatentwatch.com/blog/valuation-of-pharma-companies-5-key-considerations-2/" TargetMode="External"/><Relationship Id="rId24" Type="http://schemas.openxmlformats.org/officeDocument/2006/relationships/hyperlink" Target="https://ir.structuretx.com/news-releases/news-release-details/structure-therapeutics-reports-positive-topline-data-its-phase/" TargetMode="External"/><Relationship Id="rId68" Type="http://schemas.openxmlformats.org/officeDocument/2006/relationships/hyperlink" Target="https://www.stocktitan.net/news/GPCR/structure-therapeutics-reports-positive-topline-data-from-access-wn6mj14k9ovt.html" TargetMode="External"/><Relationship Id="rId23" Type="http://schemas.openxmlformats.org/officeDocument/2006/relationships/hyperlink" Target="https://www.biospace.com/structure-touts-over-6-percent-weight-loss-for-glp-1-pill-in-phase-iia-study" TargetMode="External"/><Relationship Id="rId67" Type="http://schemas.openxmlformats.org/officeDocument/2006/relationships/hyperlink" Target="https://www.alacrita.com/whitepapers/valuing-pharmaceutical-assets-when-to-use-npv-vs-rnpv" TargetMode="External"/><Relationship Id="rId60" Type="http://schemas.openxmlformats.org/officeDocument/2006/relationships/hyperlink" Target="https://ir.structuretx.com/node/8286/pdf" TargetMode="External"/><Relationship Id="rId26" Type="http://schemas.openxmlformats.org/officeDocument/2006/relationships/hyperlink" Target="https://ir.structuretx.com/news-releases/news-release-details/structure-therapeutics-announces-initiation-phase-1-clinical" TargetMode="External"/><Relationship Id="rId25" Type="http://schemas.openxmlformats.org/officeDocument/2006/relationships/hyperlink" Target="https://www.biospace.com/drug-development/structure-stock-soars-as-oral-glp-1-generates-highly-competitive-weight-loss" TargetMode="External"/><Relationship Id="rId69" Type="http://schemas.openxmlformats.org/officeDocument/2006/relationships/hyperlink" Target="https://www.nasdaq.com/articles/first-week-july-2026-options-trading-structure-therapeutics-gpcr" TargetMode="External"/><Relationship Id="rId28" Type="http://schemas.openxmlformats.org/officeDocument/2006/relationships/hyperlink" Target="https://www.primetherapeutics.com/glp-1-pipeline-update-february-2026" TargetMode="External"/><Relationship Id="rId27" Type="http://schemas.openxmlformats.org/officeDocument/2006/relationships/hyperlink" Target="https://www.iqvia.com/locations/emea/blogs/2026/01/outlook-for-obesity-in-2026" TargetMode="External"/><Relationship Id="rId29" Type="http://schemas.openxmlformats.org/officeDocument/2006/relationships/hyperlink" Target="https://firstwordpharma.com/story/5862986" TargetMode="External"/><Relationship Id="rId51" Type="http://schemas.openxmlformats.org/officeDocument/2006/relationships/hyperlink" Target="https://www.biospace.com/business/6-biotechs-that-could-be-big-pharmas-next-m-a-target" TargetMode="External"/><Relationship Id="rId50" Type="http://schemas.openxmlformats.org/officeDocument/2006/relationships/hyperlink" Target="https://pharmaphorum.com/market-access/jpm-2026-what-it-revealed-about-biotechs-new-reality" TargetMode="External"/><Relationship Id="rId53" Type="http://schemas.openxmlformats.org/officeDocument/2006/relationships/hyperlink" Target="https://www.drugdiscoverytrends.com/pharma-ma-china-deals-and-glp-1s-what-to-watch-in-2026/" TargetMode="External"/><Relationship Id="rId52" Type="http://schemas.openxmlformats.org/officeDocument/2006/relationships/hyperlink" Target="https://www.geneonline.com/the-glp-1-gold-rush-lilly-novo-and-new-rivals-chase-a-260-billion-market/" TargetMode="External"/><Relationship Id="rId11" Type="http://schemas.openxmlformats.org/officeDocument/2006/relationships/hyperlink" Target="https://www.danaher.com/raymond-c-stevens-phd" TargetMode="External"/><Relationship Id="rId55" Type="http://schemas.openxmlformats.org/officeDocument/2006/relationships/hyperlink" Target="https://www.fool.com/investing/2026/01/11/can-this-stock-double-again-in-2026/" TargetMode="External"/><Relationship Id="rId10" Type="http://schemas.openxmlformats.org/officeDocument/2006/relationships/image" Target="media/image3.png"/><Relationship Id="rId54" Type="http://schemas.openxmlformats.org/officeDocument/2006/relationships/hyperlink" Target="https://ir.structuretx.com/" TargetMode="External"/><Relationship Id="rId13" Type="http://schemas.openxmlformats.org/officeDocument/2006/relationships/hyperlink" Target="https://www.sec.gov/Archives/edgar/data/1888886/000110465923003415/tm225197-10_drsa.htm" TargetMode="External"/><Relationship Id="rId57" Type="http://schemas.openxmlformats.org/officeDocument/2006/relationships/hyperlink" Target="https://mlq.ai/stocks/GPCR/price-target/" TargetMode="External"/><Relationship Id="rId12" Type="http://schemas.openxmlformats.org/officeDocument/2006/relationships/hyperlink" Target="https://structuretx.com/team/raymond-stevens-ph-d/" TargetMode="External"/><Relationship Id="rId56" Type="http://schemas.openxmlformats.org/officeDocument/2006/relationships/hyperlink" Target="https://mlq.ai/stocks/GPCR/stock-forecast/" TargetMode="External"/><Relationship Id="rId15" Type="http://schemas.openxmlformats.org/officeDocument/2006/relationships/hyperlink" Target="https://ir.structuretx.com/news-releases/news-release-details/structure-therapeutics-reports-positive-topline-data-access" TargetMode="External"/><Relationship Id="rId59" Type="http://schemas.openxmlformats.org/officeDocument/2006/relationships/hyperlink" Target="https://www.stocktitan.net/news/GPCR/structure-therapeutics-announces-proposed-500-million-public-5397ei9l99os.html" TargetMode="External"/><Relationship Id="rId14" Type="http://schemas.openxmlformats.org/officeDocument/2006/relationships/hyperlink" Target="https://ir.structuretx.com/news-releases/news-release-details/structure-therapeutics-reports-fourth-quarter-and-full-year-2025" TargetMode="External"/><Relationship Id="rId58" Type="http://schemas.openxmlformats.org/officeDocument/2006/relationships/hyperlink" Target="https://www.investing.com/news/analyst-ratings/structure-therapeutics-shares-could-rise-on-obesity-drug-data-cantor-says-93CH-4532250" TargetMode="External"/><Relationship Id="rId17" Type="http://schemas.openxmlformats.org/officeDocument/2006/relationships/hyperlink" Target="https://ir.structuretx.com/press-releases" TargetMode="External"/><Relationship Id="rId16" Type="http://schemas.openxmlformats.org/officeDocument/2006/relationships/hyperlink" Target="https://drughunter.com/molecule/aleniglipron" TargetMode="External"/><Relationship Id="rId19" Type="http://schemas.openxmlformats.org/officeDocument/2006/relationships/hyperlink" Target="https://ir.structuretx.com/static-files/775ca535-9bd3-455e-a41a-44dea273c90d" TargetMode="External"/><Relationship Id="rId18" Type="http://schemas.openxmlformats.org/officeDocument/2006/relationships/hyperlink" Target="https://ir.structuretx.com/news-releases/news-release-details/structure-therapeutics-reports-first-quarter-2025-financ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