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8A79" w:sz="24" w:space="1"/>
        </w:pBdr>
        <w:spacing w:after="200"/>
      </w:pPr>
    </w:p>
    <w:p>
      <w:pPr>
        <w:pStyle w:val="Title"/>
        <w:spacing w:after="240"/>
      </w:pPr>
      <w:r>
        <w:rPr>
          <w:rFonts w:ascii="Source Sans 3" w:cs="Source Sans 3" w:eastAsia="Source Sans 3" w:hAnsi="Source Sans 3"/>
          <w:b/>
          <w:bCs/>
          <w:color w:val="111827"/>
          <w:sz w:val="32"/>
          <w:szCs w:val="32"/>
        </w:rPr>
        <w:t xml:space="preserve">M/s. GlobalShield Marine Assurance PLC – M/s. Levantine General Trading &amp; Logistics S.A.L. – Reefer container cargo deterioration due to temperature deviation</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3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b/>
                <w:bCs/>
                <w:color w:val="111827"/>
                <w:sz w:val="22"/>
                <w:szCs w:val="22"/>
              </w:rPr>
              <w:t xml:space="preserve">ULA reference:</w:t>
            </w:r>
          </w:p>
        </w:tc>
        <w:tc>
          <w:tcPr>
            <w:tcW w:type="pct" w:w="7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color w:val="1F2937"/>
                <w:sz w:val="22"/>
                <w:szCs w:val="22"/>
              </w:rPr>
              <w:t xml:space="preserve">ULA-2026-CRG-048</w:t>
            </w:r>
          </w:p>
        </w:tc>
      </w:tr>
      <w:tr>
        <w:tc>
          <w:tcPr>
            <w:tcW w:type="pct" w:w="3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b/>
                <w:bCs/>
                <w:color w:val="111827"/>
                <w:sz w:val="22"/>
                <w:szCs w:val="22"/>
              </w:rPr>
              <w:t xml:space="preserve">Applicant’s Name:</w:t>
            </w:r>
          </w:p>
        </w:tc>
        <w:tc>
          <w:tcPr>
            <w:tcW w:type="pct" w:w="7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color w:val="1F2937"/>
                <w:sz w:val="22"/>
                <w:szCs w:val="22"/>
              </w:rPr>
              <w:t xml:space="preserve">M/s. GlobalShield Marine Assurance PLC</w:t>
            </w:r>
          </w:p>
        </w:tc>
      </w:tr>
      <w:tr>
        <w:tc>
          <w:tcPr>
            <w:tcW w:type="pct" w:w="3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b/>
                <w:bCs/>
                <w:color w:val="111827"/>
                <w:sz w:val="22"/>
                <w:szCs w:val="22"/>
              </w:rPr>
              <w:t xml:space="preserve">Policy Holder:</w:t>
            </w:r>
          </w:p>
        </w:tc>
        <w:tc>
          <w:tcPr>
            <w:tcW w:type="pct" w:w="7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color w:val="1F2937"/>
                <w:sz w:val="22"/>
                <w:szCs w:val="22"/>
              </w:rPr>
              <w:t xml:space="preserve">Mediterranean Insurance Brokers Ltd.</w:t>
            </w:r>
          </w:p>
        </w:tc>
      </w:tr>
      <w:tr>
        <w:tc>
          <w:tcPr>
            <w:tcW w:type="pct" w:w="3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b/>
                <w:bCs/>
                <w:color w:val="111827"/>
                <w:sz w:val="22"/>
                <w:szCs w:val="22"/>
              </w:rPr>
              <w:t xml:space="preserve">Assured’s Name:</w:t>
            </w:r>
          </w:p>
        </w:tc>
        <w:tc>
          <w:tcPr>
            <w:tcW w:type="pct" w:w="7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color w:val="1F2937"/>
                <w:sz w:val="22"/>
                <w:szCs w:val="22"/>
              </w:rPr>
              <w:t xml:space="preserve">M/s. Levantine General Trading &amp; Logistics S.A.L.</w:t>
            </w:r>
          </w:p>
        </w:tc>
      </w:tr>
      <w:tr>
        <w:tc>
          <w:tcPr>
            <w:tcW w:type="pct" w:w="3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b/>
                <w:bCs/>
                <w:color w:val="111827"/>
                <w:sz w:val="22"/>
                <w:szCs w:val="22"/>
              </w:rPr>
              <w:t xml:space="preserve">Policy No.:</w:t>
            </w:r>
          </w:p>
        </w:tc>
        <w:tc>
          <w:tcPr>
            <w:tcW w:type="pct" w:w="7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color w:val="1F2937"/>
                <w:sz w:val="22"/>
                <w:szCs w:val="22"/>
              </w:rPr>
              <w:t xml:space="preserve">MC-2026-90412</w:t>
            </w:r>
          </w:p>
        </w:tc>
      </w:tr>
      <w:tr>
        <w:tc>
          <w:tcPr>
            <w:tcW w:type="pct" w:w="3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b/>
                <w:bCs/>
                <w:color w:val="111827"/>
                <w:sz w:val="22"/>
                <w:szCs w:val="22"/>
              </w:rPr>
              <w:t xml:space="preserve">Date:</w:t>
            </w:r>
          </w:p>
        </w:tc>
        <w:tc>
          <w:tcPr>
            <w:tcW w:type="pct" w:w="70%"/>
            <w:tcBorders>
              <w:top w:val="none" w:color="auto" w:sz="0"/>
              <w:left w:val="none" w:color="auto" w:sz="0"/>
              <w:bottom w:val="single" w:color="7FAEA4" w:sz="4"/>
              <w:right w:val="none" w:color="auto" w:sz="0"/>
            </w:tcBorders>
            <w:tcMar>
              <w:top w:type="dxa" w:w="80"/>
              <w:left w:type="dxa" w:w="40"/>
              <w:bottom w:type="dxa" w:w="80"/>
              <w:right w:type="dxa" w:w="40"/>
            </w:tcMar>
          </w:tcPr>
          <w:p>
            <w:r>
              <w:rPr>
                <w:rFonts w:ascii="Source Sans 3" w:cs="Source Sans 3" w:eastAsia="Source Sans 3" w:hAnsi="Source Sans 3"/>
                <w:color w:val="1F2937"/>
                <w:sz w:val="22"/>
                <w:szCs w:val="22"/>
              </w:rPr>
              <w:t xml:space="preserve">19 August 2026</w:t>
            </w:r>
          </w:p>
        </w:tc>
      </w:tr>
    </w:tbl>
    <w:p>
      <w:pPr>
        <w:spacing w:after="80" w:before="240"/>
      </w:pPr>
    </w:p>
    <w:p>
      <w:pPr>
        <w:spacing w:after="60" w:before="120"/>
        <w:jc w:val="center"/>
      </w:pPr>
      <w:r>
        <w:drawing>
          <wp:inline distT="0" distB="0" distL="0" distR="0">
            <wp:extent cx="13335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419100"/>
                    </a:xfrm>
                    <a:prstGeom prst="rect">
                      <a:avLst/>
                    </a:prstGeom>
                  </pic:spPr>
                </pic:pic>
              </a:graphicData>
            </a:graphic>
          </wp:inline>
        </w:drawing>
      </w:r>
    </w:p>
    <w:p>
      <w:pPr>
        <w:spacing w:after="200"/>
        <w:jc w:val="center"/>
      </w:pPr>
      <w:r>
        <w:rPr>
          <w:rFonts w:ascii="Source Sans 3" w:cs="Source Sans 3" w:eastAsia="Source Sans 3" w:hAnsi="Source Sans 3"/>
          <w:b/>
          <w:bCs/>
          <w:color w:val="1F8A79"/>
          <w:sz w:val="19"/>
          <w:szCs w:val="19"/>
        </w:rPr>
        <w:t xml:space="preserve">It’s about time you receive the quality of service and expertise your firm deserves.</w:t>
      </w:r>
    </w:p>
    <w:p>
      <w:pPr>
        <w:spacing w:after="0" w:before="8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76500"/>
                    </a:xfrm>
                    <a:prstGeom prst="rect">
                      <a:avLst/>
                    </a:prstGeom>
                  </pic:spPr>
                </pic:pic>
              </a:graphicData>
            </a:graphic>
          </wp:inline>
        </w:drawing>
      </w:r>
    </w:p>
    <w:p>
      <w:r>
        <w:br w:type="page"/>
      </w:r>
    </w:p>
    <w:p>
      <w:pPr>
        <w:pStyle w:val="Heading2"/>
        <w:pBdr>
          <w:bottom w:val="single" w:color="7FAEA4" w:sz="6" w:space="4"/>
        </w:pBdr>
        <w:spacing w:after="140"/>
      </w:pPr>
      <w:r>
        <w:rPr>
          <w:rFonts w:ascii="Source Sans 3" w:cs="Source Sans 3" w:eastAsia="Source Sans 3" w:hAnsi="Source Sans 3"/>
          <w:b/>
          <w:bCs/>
          <w:color w:val="1F8A79"/>
          <w:sz w:val="24"/>
          <w:szCs w:val="24"/>
        </w:rPr>
        <w:t xml:space="preserve">01. DOCUMENT CONTROL</w:t>
      </w:r>
    </w:p>
    <w:tbl>
      <w:tblPr>
        <w:tblW w:type="pct" w:w="100%"/>
        <w:tblBorders>
          <w:top w:val="single" w:color="D8E1DC" w:sz="4"/>
          <w:left w:val="single" w:color="D8E1DC" w:sz="4"/>
          <w:bottom w:val="single" w:color="D8E1DC" w:sz="4"/>
          <w:right w:val="single" w:color="D8E1DC" w:sz="4"/>
          <w:insideH w:val="single" w:color="auto" w:sz="4"/>
          <w:insideV w:val="single" w:color="auto" w:sz="4"/>
        </w:tblBorders>
      </w:tblPr>
      <w:tblGrid>
        <w:gridCol w:w="100"/>
        <w:gridCol w:w="100"/>
        <w:gridCol w:w="100"/>
        <w:gridCol w:w="100"/>
      </w:tblGrid>
      <w:tr>
        <w:trPr>
          <w:tblHeader/>
        </w:trPr>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Responsibility</w:t>
            </w:r>
          </w:p>
        </w:tc>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Assigned Person</w:t>
            </w:r>
          </w:p>
        </w:tc>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Professional Designation</w:t>
            </w:r>
          </w:p>
        </w:tc>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Status</w:t>
            </w:r>
          </w:p>
        </w:tc>
      </w:tr>
      <w:tr>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b/>
                <w:bCs/>
                <w:color w:val="111827"/>
                <w:sz w:val="20"/>
                <w:szCs w:val="20"/>
              </w:rPr>
              <w:t xml:space="preserve">Investigating Surveyor</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Capt. Antoine Khoury</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6B7280"/>
                <w:sz w:val="20"/>
                <w:szCs w:val="20"/>
              </w:rPr>
              <w:t xml:space="preserve">Senior Marine Surveyor, IMarEST Member</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b/>
                <w:bCs/>
                <w:color w:val="1F8A79"/>
                <w:sz w:val="19"/>
                <w:szCs w:val="19"/>
              </w:rPr>
              <w:t xml:space="preserve">Signed &amp; Validated</w:t>
            </w:r>
          </w:p>
        </w:tc>
      </w:tr>
      <w:tr>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Report Preparer</w:t>
            </w:r>
          </w:p>
        </w:tc>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color w:val="1F2937"/>
                <w:sz w:val="20"/>
                <w:szCs w:val="20"/>
              </w:rPr>
              <w:t xml:space="preserve">Sami Mansour</w:t>
            </w:r>
          </w:p>
        </w:tc>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color w:val="6B7280"/>
                <w:sz w:val="20"/>
                <w:szCs w:val="20"/>
              </w:rPr>
              <w:t xml:space="preserve">Associate Loss Adjuster, Dip CII</w:t>
            </w:r>
          </w:p>
        </w:tc>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b/>
                <w:bCs/>
                <w:color w:val="1F8A79"/>
                <w:sz w:val="19"/>
                <w:szCs w:val="19"/>
              </w:rPr>
              <w:t xml:space="preserve">Signed &amp; Validated</w:t>
            </w:r>
          </w:p>
        </w:tc>
      </w:tr>
      <w:tr>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b/>
                <w:bCs/>
                <w:color w:val="111827"/>
                <w:sz w:val="20"/>
                <w:szCs w:val="20"/>
              </w:rPr>
              <w:t xml:space="preserve">Technical Reviewer</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Elias Haddad</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6B7280"/>
                <w:sz w:val="20"/>
                <w:szCs w:val="20"/>
              </w:rPr>
              <w:t xml:space="preserve">Technical Director, FUEDI-ELAE, ACII</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b/>
                <w:bCs/>
                <w:color w:val="1F8A79"/>
                <w:sz w:val="19"/>
                <w:szCs w:val="19"/>
              </w:rPr>
              <w:t xml:space="preserve">Signed &amp; Validated</w:t>
            </w:r>
          </w:p>
        </w:tc>
      </w:tr>
      <w:tr>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Executive Approver</w:t>
            </w:r>
          </w:p>
        </w:tc>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color w:val="1F2937"/>
                <w:sz w:val="20"/>
                <w:szCs w:val="20"/>
              </w:rPr>
              <w:t xml:space="preserve">Petro Zaarour</w:t>
            </w:r>
          </w:p>
        </w:tc>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color w:val="6B7280"/>
                <w:sz w:val="20"/>
                <w:szCs w:val="20"/>
              </w:rPr>
              <w:t xml:space="preserve">Managing Director, CILA Fellow</w:t>
            </w:r>
          </w:p>
        </w:tc>
        <w:tc>
          <w:tcPr>
            <w:tcBorders>
              <w:top w:val="single" w:color="D8E1DC" w:sz="4"/>
              <w:left w:val="single" w:color="D8E1DC" w:sz="4"/>
              <w:bottom w:val="single" w:color="D8E1DC" w:sz="4"/>
              <w:right w:val="single" w:color="D8E1DC" w:sz="4"/>
            </w:tcBorders>
            <w:shd w:fill="F8FAF9" w:val="clear"/>
            <w:tcMar>
              <w:top w:type="dxa" w:w="80"/>
              <w:left w:type="dxa" w:w="120"/>
              <w:bottom w:type="dxa" w:w="80"/>
              <w:right w:type="dxa" w:w="120"/>
            </w:tcMar>
          </w:tcPr>
          <w:p>
            <w:r>
              <w:rPr>
                <w:rFonts w:ascii="Source Sans 3" w:cs="Source Sans 3" w:eastAsia="Source Sans 3" w:hAnsi="Source Sans 3"/>
                <w:b/>
                <w:bCs/>
                <w:color w:val="1F8A79"/>
                <w:sz w:val="19"/>
                <w:szCs w:val="19"/>
              </w:rPr>
              <w:t xml:space="preserve">Signed &amp; Validated</w:t>
            </w:r>
          </w:p>
        </w:tc>
      </w:tr>
    </w:tbl>
    <w:p>
      <w:pPr>
        <w:spacing w:after="120" w:before="180"/>
      </w:pPr>
    </w:p>
    <w:p>
      <w:pPr>
        <w:pStyle w:val="Heading2"/>
        <w:pBdr>
          <w:bottom w:val="single" w:color="7FAEA4" w:sz="6" w:space="4"/>
        </w:pBdr>
        <w:spacing w:after="140"/>
      </w:pPr>
      <w:r>
        <w:rPr>
          <w:rFonts w:ascii="Source Sans 3" w:cs="Source Sans 3" w:eastAsia="Source Sans 3" w:hAnsi="Source Sans 3"/>
          <w:b/>
          <w:bCs/>
          <w:color w:val="1F8A79"/>
          <w:sz w:val="24"/>
          <w:szCs w:val="24"/>
        </w:rPr>
        <w:t xml:space="preserve">02. VERSION HISTORY</w:t>
      </w:r>
    </w:p>
    <w:tbl>
      <w:tblPr>
        <w:tblW w:type="pct" w:w="100%"/>
        <w:tblBorders>
          <w:top w:val="single" w:color="D8E1DC" w:sz="4"/>
          <w:left w:val="single" w:color="D8E1DC" w:sz="4"/>
          <w:bottom w:val="single" w:color="D8E1DC" w:sz="4"/>
          <w:right w:val="single" w:color="D8E1DC" w:sz="4"/>
          <w:insideH w:val="single" w:color="auto" w:sz="4"/>
          <w:insideV w:val="single" w:color="auto" w:sz="4"/>
        </w:tblBorders>
      </w:tblPr>
      <w:tblGrid>
        <w:gridCol w:w="100"/>
        <w:gridCol w:w="100"/>
        <w:gridCol w:w="100"/>
        <w:gridCol w:w="100"/>
      </w:tblGrid>
      <w:tr>
        <w:trPr>
          <w:tblHeader/>
        </w:trPr>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Version</w:t>
            </w:r>
          </w:p>
        </w:tc>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Issue Date</w:t>
            </w:r>
          </w:p>
        </w:tc>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Status</w:t>
            </w:r>
          </w:p>
        </w:tc>
        <w:tc>
          <w:tcPr>
            <w:tcBorders>
              <w:top w:val="single" w:color="D8E1DC" w:sz="4"/>
              <w:left w:val="single" w:color="D8E1DC" w:sz="4"/>
              <w:bottom w:val="single" w:color="D8E1DC" w:sz="4"/>
              <w:right w:val="single" w:color="D8E1DC" w:sz="4"/>
            </w:tcBorders>
            <w:shd w:fill="F3F7F4" w:val="clear"/>
            <w:tcMar>
              <w:top w:type="dxa" w:w="100"/>
              <w:left w:type="dxa" w:w="120"/>
              <w:bottom w:type="dxa" w:w="100"/>
              <w:right w:type="dxa" w:w="120"/>
            </w:tcMar>
          </w:tcPr>
          <w:p>
            <w:r>
              <w:rPr>
                <w:rFonts w:ascii="Source Sans 3" w:cs="Source Sans 3" w:eastAsia="Source Sans 3" w:hAnsi="Source Sans 3"/>
                <w:b/>
                <w:bCs/>
                <w:color w:val="111827"/>
                <w:sz w:val="20"/>
                <w:szCs w:val="20"/>
              </w:rPr>
              <w:t xml:space="preserve">Revision Reason</w:t>
            </w:r>
          </w:p>
        </w:tc>
      </w:tr>
      <w:tr>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b/>
                <w:bCs/>
                <w:sz w:val="20"/>
                <w:szCs w:val="20"/>
              </w:rPr>
              <w:t xml:space="preserve">v1</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sz w:val="20"/>
                <w:szCs w:val="20"/>
              </w:rPr>
              <w:t xml:space="preserve">19 August 2026</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sz w:val="20"/>
                <w:szCs w:val="20"/>
              </w:rPr>
              <w:t xml:space="preserve">Final Controlled Issue</w:t>
            </w:r>
          </w:p>
        </w:tc>
        <w:tc>
          <w:tcPr>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sz w:val="20"/>
                <w:szCs w:val="20"/>
              </w:rPr>
              <w:t xml:space="preserve">Official Loss Adjusting Survey Report</w:t>
            </w:r>
          </w:p>
        </w:tc>
      </w:tr>
    </w:tbl>
    <w:p>
      <w:pPr>
        <w:spacing w:after="120" w:before="180"/>
      </w:pPr>
    </w:p>
    <w:p>
      <w:pPr>
        <w:pStyle w:val="Heading2"/>
        <w:pBdr>
          <w:bottom w:val="single" w:color="7FAEA4" w:sz="6" w:space="4"/>
        </w:pBdr>
        <w:spacing w:after="140"/>
      </w:pPr>
      <w:r>
        <w:rPr>
          <w:rFonts w:ascii="Source Sans 3" w:cs="Source Sans 3" w:eastAsia="Source Sans 3" w:hAnsi="Source Sans 3"/>
          <w:b/>
          <w:bCs/>
          <w:color w:val="1F8A79"/>
          <w:sz w:val="24"/>
          <w:szCs w:val="24"/>
        </w:rPr>
        <w:t xml:space="preserve">03. CLAIM SALIENT DETAILS</w:t>
      </w:r>
    </w:p>
    <w:tbl>
      <w:tblPr>
        <w:tblW w:type="pct" w:w="100%"/>
        <w:tblBorders>
          <w:top w:val="single" w:color="D8E1DC" w:sz="4"/>
          <w:left w:val="single" w:color="D8E1DC" w:sz="4"/>
          <w:bottom w:val="single" w:color="D8E1DC" w:sz="4"/>
          <w:right w:val="single" w:color="D8E1DC" w:sz="4"/>
          <w:insideH w:val="single" w:color="auto" w:sz="4"/>
          <w:insideV w:val="single" w:color="auto" w:sz="4"/>
        </w:tblBorders>
      </w:tblPr>
      <w:tblGrid>
        <w:gridCol w:w="100"/>
        <w:gridCol w:w="100"/>
      </w:tblGrid>
      <w:tr>
        <w:tc>
          <w:tcPr>
            <w:tcW w:type="pct" w:w="35%"/>
            <w:tcBorders>
              <w:top w:val="single" w:color="D8E1DC" w:sz="4"/>
              <w:left w:val="single" w:color="D8E1DC" w:sz="4"/>
              <w:bottom w:val="single" w:color="D8E1DC" w:sz="4"/>
              <w:right w:val="single" w:color="D8E1DC" w:sz="4"/>
            </w:tcBorders>
            <w:shd w:fill="F3F7F4"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Insurer / Applicant</w:t>
            </w:r>
          </w:p>
        </w:tc>
        <w:tc>
          <w:tcPr>
            <w:tcW w:type="pct" w:w="65%"/>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M/s. GlobalShield Marine Assurance PLC</w:t>
            </w:r>
          </w:p>
        </w:tc>
      </w:tr>
      <w:tr>
        <w:tc>
          <w:tcPr>
            <w:tcW w:type="pct" w:w="35%"/>
            <w:tcBorders>
              <w:top w:val="single" w:color="D8E1DC" w:sz="4"/>
              <w:left w:val="single" w:color="D8E1DC" w:sz="4"/>
              <w:bottom w:val="single" w:color="D8E1DC" w:sz="4"/>
              <w:right w:val="single" w:color="D8E1DC" w:sz="4"/>
            </w:tcBorders>
            <w:shd w:fill="F3F7F4"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Insured / Assured</w:t>
            </w:r>
          </w:p>
        </w:tc>
        <w:tc>
          <w:tcPr>
            <w:tcW w:type="pct" w:w="65%"/>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M/s. Levantine General Trading &amp; Logistics S.A.L.</w:t>
            </w:r>
          </w:p>
        </w:tc>
      </w:tr>
      <w:tr>
        <w:tc>
          <w:tcPr>
            <w:tcW w:type="pct" w:w="35%"/>
            <w:tcBorders>
              <w:top w:val="single" w:color="D8E1DC" w:sz="4"/>
              <w:left w:val="single" w:color="D8E1DC" w:sz="4"/>
              <w:bottom w:val="single" w:color="D8E1DC" w:sz="4"/>
              <w:right w:val="single" w:color="D8E1DC" w:sz="4"/>
            </w:tcBorders>
            <w:shd w:fill="F3F7F4"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Broker / Intermediary</w:t>
            </w:r>
          </w:p>
        </w:tc>
        <w:tc>
          <w:tcPr>
            <w:tcW w:type="pct" w:w="65%"/>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Mediterranean Insurance Brokers Ltd.</w:t>
            </w:r>
          </w:p>
        </w:tc>
      </w:tr>
      <w:tr>
        <w:tc>
          <w:tcPr>
            <w:tcW w:type="pct" w:w="35%"/>
            <w:tcBorders>
              <w:top w:val="single" w:color="D8E1DC" w:sz="4"/>
              <w:left w:val="single" w:color="D8E1DC" w:sz="4"/>
              <w:bottom w:val="single" w:color="D8E1DC" w:sz="4"/>
              <w:right w:val="single" w:color="D8E1DC" w:sz="4"/>
            </w:tcBorders>
            <w:shd w:fill="F3F7F4"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Business Line</w:t>
            </w:r>
          </w:p>
        </w:tc>
        <w:tc>
          <w:tcPr>
            <w:tcW w:type="pct" w:w="65%"/>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Marine Cargo (Reefer/GFS)</w:t>
            </w:r>
          </w:p>
        </w:tc>
      </w:tr>
      <w:tr>
        <w:tc>
          <w:tcPr>
            <w:tcW w:type="pct" w:w="35%"/>
            <w:tcBorders>
              <w:top w:val="single" w:color="D8E1DC" w:sz="4"/>
              <w:left w:val="single" w:color="D8E1DC" w:sz="4"/>
              <w:bottom w:val="single" w:color="D8E1DC" w:sz="4"/>
              <w:right w:val="single" w:color="D8E1DC" w:sz="4"/>
            </w:tcBorders>
            <w:shd w:fill="F3F7F4"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Claimed Amount</w:t>
            </w:r>
          </w:p>
        </w:tc>
        <w:tc>
          <w:tcPr>
            <w:tcW w:type="pct" w:w="65%"/>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USD NaN</w:t>
            </w:r>
          </w:p>
        </w:tc>
      </w:tr>
      <w:tr>
        <w:tc>
          <w:tcPr>
            <w:tcW w:type="pct" w:w="35%"/>
            <w:tcBorders>
              <w:top w:val="single" w:color="D8E1DC" w:sz="4"/>
              <w:left w:val="single" w:color="D8E1DC" w:sz="4"/>
              <w:bottom w:val="single" w:color="D8E1DC" w:sz="4"/>
              <w:right w:val="single" w:color="D8E1DC" w:sz="4"/>
            </w:tcBorders>
            <w:shd w:fill="F3F7F4" w:val="clear"/>
            <w:tcMar>
              <w:top w:type="dxa" w:w="80"/>
              <w:left w:type="dxa" w:w="120"/>
              <w:bottom w:type="dxa" w:w="80"/>
              <w:right w:type="dxa" w:w="120"/>
            </w:tcMar>
          </w:tcPr>
          <w:p>
            <w:r>
              <w:rPr>
                <w:rFonts w:ascii="Source Sans 3" w:cs="Source Sans 3" w:eastAsia="Source Sans 3" w:hAnsi="Source Sans 3"/>
                <w:b/>
                <w:bCs/>
                <w:color w:val="111827"/>
                <w:sz w:val="20"/>
                <w:szCs w:val="20"/>
              </w:rPr>
              <w:t xml:space="preserve">Net Concluded Indemnity</w:t>
            </w:r>
          </w:p>
        </w:tc>
        <w:tc>
          <w:tcPr>
            <w:tcW w:type="pct" w:w="65%"/>
            <w:tcBorders>
              <w:top w:val="single" w:color="D8E1DC" w:sz="4"/>
              <w:left w:val="single" w:color="D8E1DC" w:sz="4"/>
              <w:bottom w:val="single" w:color="D8E1DC" w:sz="4"/>
              <w:right w:val="single" w:color="D8E1DC" w:sz="4"/>
            </w:tcBorders>
            <w:tcMar>
              <w:top w:type="dxa" w:w="80"/>
              <w:left w:type="dxa" w:w="120"/>
              <w:bottom w:type="dxa" w:w="80"/>
              <w:right w:type="dxa" w:w="120"/>
            </w:tcMar>
          </w:tcPr>
          <w:p>
            <w:r>
              <w:rPr>
                <w:rFonts w:ascii="Source Sans 3" w:cs="Source Sans 3" w:eastAsia="Source Sans 3" w:hAnsi="Source Sans 3"/>
                <w:color w:val="1F2937"/>
                <w:sz w:val="20"/>
                <w:szCs w:val="20"/>
              </w:rPr>
              <w:t xml:space="preserve">USD NaN</w:t>
            </w:r>
          </w:p>
        </w:tc>
      </w:tr>
    </w:tbl>
    <w:p>
      <w:r>
        <w:br w:type="page"/>
      </w:r>
    </w:p>
    <w:p>
      <w:pPr>
        <w:pStyle w:val="Heading2"/>
        <w:pBdr>
          <w:bottom w:val="single" w:color="7FAEA4" w:sz="6" w:space="4"/>
        </w:pBdr>
        <w:spacing w:after="100" w:before="280"/>
      </w:pPr>
      <w:r>
        <w:rPr>
          <w:rFonts w:ascii="Source Sans 3" w:cs="Source Sans 3" w:eastAsia="Source Sans 3" w:hAnsi="Source Sans 3"/>
          <w:b/>
          <w:bCs/>
          <w:color w:val="1F8A79"/>
          <w:sz w:val="24"/>
          <w:szCs w:val="24"/>
        </w:rPr>
        <w:t xml:space="preserve">04. EXECUTIVE SUMMARY</w:t>
      </w:r>
    </w:p>
    <w:p>
      <w:pPr>
        <w:spacing w:after="120" w:line="276"/>
      </w:pPr>
      <w:r>
        <w:rPr>
          <w:rFonts w:ascii="Source Sans 3" w:cs="Source Sans 3" w:eastAsia="Source Sans 3" w:hAnsi="Source Sans 3"/>
          <w:color w:val="1F2937"/>
          <w:sz w:val="21"/>
          <w:szCs w:val="21"/>
        </w:rPr>
        <w:t xml:space="preserve">At the request of </w:t>
      </w:r>
      <w:r>
        <w:rPr>
          <w:rFonts w:ascii="Source Sans 3" w:cs="Source Sans 3" w:eastAsia="Source Sans 3" w:hAnsi="Source Sans 3"/>
          <w:b/>
          <w:bCs/>
          <w:color w:val="1F2937"/>
          <w:sz w:val="21"/>
          <w:szCs w:val="21"/>
        </w:rPr>
        <w:t xml:space="preserve">M/s. GlobalShield Marine Assurance PLC</w:t>
      </w:r>
      <w:r>
        <w:rPr>
          <w:rFonts w:ascii="Source Sans 3" w:cs="Source Sans 3" w:eastAsia="Source Sans 3" w:hAnsi="Source Sans 3"/>
          <w:color w:val="1F2937"/>
          <w:sz w:val="21"/>
          <w:szCs w:val="21"/>
        </w:rPr>
        <w:t xml:space="preserve"> (the Applicant), United Loss Adjusters &amp; Surveyors was instructed to attend, investigate, and quantify the transit loss sustained to a consignment of frozen foodstuffs imported by </w:t>
      </w:r>
      <w:r>
        <w:rPr>
          <w:rFonts w:ascii="Source Sans 3" w:cs="Source Sans 3" w:eastAsia="Source Sans 3" w:hAnsi="Source Sans 3"/>
          <w:b/>
          <w:bCs/>
          <w:color w:val="1F2937"/>
          <w:sz w:val="21"/>
          <w:szCs w:val="21"/>
        </w:rPr>
        <w:t xml:space="preserve">M/s. Levantine General Trading &amp; Logistics S.A.L.</w:t>
      </w:r>
      <w:r>
        <w:rPr>
          <w:rFonts w:ascii="Source Sans 3" w:cs="Source Sans 3" w:eastAsia="Source Sans 3" w:hAnsi="Source Sans 3"/>
          <w:color w:val="1F2937"/>
          <w:sz w:val="21"/>
          <w:szCs w:val="21"/>
        </w:rPr>
        <w:t xml:space="preserve"> (the Assured).</w:t>
      </w:r>
    </w:p>
    <w:tbl>
      <w:tblPr>
        <w:tblW w:type="pct" w:w="100%"/>
        <w:tblBorders>
          <w:top w:val="single" w:color="D8E1DC" w:sz="4"/>
          <w:left w:val="single" w:color="D8E1DC" w:sz="4"/>
          <w:bottom w:val="single" w:color="D8E1DC" w:sz="4"/>
          <w:right w:val="single" w:color="D8E1DC" w:sz="4"/>
          <w:insideH w:val="single" w:color="auto" w:sz="4"/>
          <w:insideV w:val="single" w:color="auto" w:sz="4"/>
        </w:tblBorders>
      </w:tblPr>
      <w:tblGrid>
        <w:gridCol w:w="100"/>
        <w:gridCol w:w="100"/>
      </w:tblGrid>
      <w:tr>
        <w:trPr>
          <w:tblHeader/>
        </w:trPr>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Assured's / Shipper's Name</w:t>
            </w:r>
          </w:p>
        </w:tc>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Levantine General Trading &amp; Logistics S.A.L.</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Consignee's Name</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Levantine Distribution Center, Beirut</w:t>
            </w:r>
          </w:p>
        </w:tc>
      </w:tr>
      <w:tr>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Insurance Policy</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Policy No. MC-2026-90412 (Institute Frozen Food Clauses A)</w:t>
            </w:r>
          </w:p>
        </w:tc>
      </w:tr>
    </w:tbl>
    <w:p>
      <w:pPr>
        <w:spacing w:after="160"/>
      </w:pPr>
    </w:p>
    <w:p>
      <w:pPr>
        <w:spacing w:after="120" w:line="276"/>
      </w:pPr>
      <w:r>
        <w:rPr>
          <w:rFonts w:ascii="Source Sans 3" w:cs="Source Sans 3" w:eastAsia="Source Sans 3" w:hAnsi="Source Sans 3"/>
          <w:color w:val="1F2937"/>
          <w:sz w:val="21"/>
          <w:szCs w:val="21"/>
        </w:rPr>
        <w:t xml:space="preserve">The following findings were established during joint survey attendance:</w:t>
      </w:r>
    </w:p>
    <w:p>
      <w:pPr>
        <w:pStyle w:val="ListParagraph"/>
        <w:numPr>
          <w:ilvl w:val="0"/>
          <w:numId w:val="1"/>
        </w:numPr>
        <w:spacing w:after="80"/>
      </w:pPr>
      <w:r>
        <w:rPr>
          <w:rFonts w:ascii="Source Sans 3" w:cs="Source Sans 3" w:eastAsia="Source Sans 3" w:hAnsi="Source Sans 3"/>
          <w:color w:val="1F2937"/>
          <w:sz w:val="21"/>
          <w:szCs w:val="21"/>
        </w:rPr>
        <w:t xml:space="preserve">Consignment shipped in Reefer Container No. MEDU901248-1 from Port of Valencia to Port of Beirut.</w:t>
      </w:r>
    </w:p>
    <w:p>
      <w:pPr>
        <w:pStyle w:val="ListParagraph"/>
        <w:numPr>
          <w:ilvl w:val="0"/>
          <w:numId w:val="1"/>
        </w:numPr>
        <w:spacing w:after="80"/>
      </w:pPr>
      <w:r>
        <w:rPr>
          <w:rFonts w:ascii="Source Sans 3" w:cs="Source Sans 3" w:eastAsia="Source Sans 3" w:hAnsi="Source Sans 3"/>
          <w:color w:val="1F2937"/>
          <w:sz w:val="21"/>
          <w:szCs w:val="21"/>
        </w:rPr>
        <w:t xml:space="preserve">Part of the consignment arrived with softened packaging and thermal temperature abuse.</w:t>
      </w:r>
    </w:p>
    <w:p>
      <w:pPr>
        <w:pStyle w:val="ListParagraph"/>
        <w:numPr>
          <w:ilvl w:val="0"/>
          <w:numId w:val="1"/>
        </w:numPr>
        <w:spacing w:after="80"/>
      </w:pPr>
      <w:r>
        <w:rPr>
          <w:rFonts w:ascii="Source Sans 3" w:cs="Source Sans 3" w:eastAsia="Source Sans 3" w:hAnsi="Source Sans 3"/>
          <w:color w:val="1F2937"/>
          <w:sz w:val="21"/>
          <w:szCs w:val="21"/>
        </w:rPr>
        <w:t xml:space="preserve">Physical sorting separated sound packages from deteriorated goods.</w:t>
      </w:r>
    </w:p>
    <w:p>
      <w:pPr>
        <w:pStyle w:val="Heading3"/>
        <w:spacing w:after="80" w:before="200"/>
      </w:pPr>
      <w:r>
        <w:rPr>
          <w:rFonts w:ascii="Source Sans 3" w:cs="Source Sans 3" w:eastAsia="Source Sans 3" w:hAnsi="Source Sans 3"/>
          <w:b/>
          <w:bCs/>
          <w:color w:val="111827"/>
          <w:sz w:val="22"/>
          <w:szCs w:val="22"/>
        </w:rPr>
        <w:t xml:space="preserve">In our opinion,</w:t>
      </w:r>
    </w:p>
    <w:p>
      <w:pPr>
        <w:pStyle w:val="ListParagraph"/>
        <w:numPr>
          <w:ilvl w:val="0"/>
          <w:numId w:val="1"/>
        </w:numPr>
        <w:spacing w:after="80"/>
      </w:pPr>
      <w:r>
        <w:rPr>
          <w:rFonts w:ascii="Source Sans 3" w:cs="Source Sans 3" w:eastAsia="Source Sans 3" w:hAnsi="Source Sans 3"/>
          <w:color w:val="1F2937"/>
          <w:sz w:val="21"/>
          <w:szCs w:val="21"/>
        </w:rPr>
        <w:t xml:space="preserve">Physical inspection confirms thermal shock and temperature variations during the inland feeder transit leg.</w:t>
      </w:r>
    </w:p>
    <w:p>
      <w:pPr>
        <w:pStyle w:val="ListParagraph"/>
        <w:numPr>
          <w:ilvl w:val="0"/>
          <w:numId w:val="1"/>
        </w:numPr>
        <w:spacing w:after="80"/>
      </w:pPr>
      <w:r>
        <w:rPr>
          <w:rFonts w:ascii="Source Sans 3" w:cs="Source Sans 3" w:eastAsia="Source Sans 3" w:hAnsi="Source Sans 3"/>
          <w:color w:val="1F2937"/>
          <w:sz w:val="21"/>
          <w:szCs w:val="21"/>
        </w:rPr>
        <w:t xml:space="preserve">Salvage mitigation proceeds were credited against the sound commercial invoice valuation.</w:t>
      </w:r>
    </w:p>
    <w:p>
      <w:pPr>
        <w:pStyle w:val="ListParagraph"/>
        <w:numPr>
          <w:ilvl w:val="0"/>
          <w:numId w:val="1"/>
        </w:numPr>
        <w:spacing w:after="80"/>
      </w:pPr>
      <w:r>
        <w:rPr>
          <w:rFonts w:ascii="Source Sans 3" w:cs="Source Sans 3" w:eastAsia="Source Sans 3" w:hAnsi="Source Sans 3"/>
          <w:color w:val="1F2937"/>
          <w:sz w:val="21"/>
          <w:szCs w:val="21"/>
        </w:rPr>
        <w:t xml:space="preserve">Net adjusted indemnity concludes at </w:t>
      </w:r>
      <w:r>
        <w:rPr>
          <w:rFonts w:ascii="Source Sans 3" w:cs="Source Sans 3" w:eastAsia="Source Sans 3" w:hAnsi="Source Sans 3"/>
          <w:b/>
          <w:bCs/>
          <w:color w:val="1F2937"/>
          <w:sz w:val="21"/>
          <w:szCs w:val="21"/>
        </w:rPr>
        <w:t xml:space="preserve">USD 39,250.00</w:t>
      </w:r>
      <w:r>
        <w:rPr>
          <w:rFonts w:ascii="Source Sans 3" w:cs="Source Sans 3" w:eastAsia="Source Sans 3" w:hAnsi="Source Sans 3"/>
          <w:color w:val="1F2937"/>
          <w:sz w:val="21"/>
          <w:szCs w:val="21"/>
        </w:rPr>
        <w:t xml:space="preserve">.</w:t>
      </w:r>
    </w:p>
    <w:p>
      <w:pPr>
        <w:pStyle w:val="Heading2"/>
        <w:pBdr>
          <w:bottom w:val="single" w:color="7FAEA4" w:sz="6" w:space="4"/>
        </w:pBdr>
        <w:spacing w:after="100" w:before="280"/>
      </w:pPr>
      <w:r>
        <w:rPr>
          <w:rFonts w:ascii="Source Sans 3" w:cs="Source Sans 3" w:eastAsia="Source Sans 3" w:hAnsi="Source Sans 3"/>
          <w:b/>
          <w:bCs/>
          <w:color w:val="1F8A79"/>
          <w:sz w:val="24"/>
          <w:szCs w:val="24"/>
        </w:rPr>
        <w:t xml:space="preserve">05. POLICY COVERAGE AND WARRANTIES</w:t>
      </w:r>
    </w:p>
    <w:p>
      <w:pPr>
        <w:spacing w:after="120" w:line="276"/>
      </w:pPr>
      <w:r>
        <w:rPr>
          <w:rFonts w:ascii="Source Sans 3" w:cs="Source Sans 3" w:eastAsia="Source Sans 3" w:hAnsi="Source Sans 3"/>
          <w:color w:val="1F2937"/>
          <w:sz w:val="21"/>
          <w:szCs w:val="21"/>
        </w:rPr>
        <w:t xml:space="preserve">The policy provides coverage under Institute Frozen Meat / Frozen Food Clauses (A) with a dedicated temperature management warranty.</w:t>
      </w:r>
    </w:p>
    <w:tbl>
      <w:tblPr>
        <w:tblW w:type="pct" w:w="100%"/>
        <w:tblBorders>
          <w:top w:val="single" w:color="D8E1DC" w:sz="4"/>
          <w:left w:val="single" w:color="D8E1DC" w:sz="4"/>
          <w:bottom w:val="single" w:color="D8E1DC" w:sz="4"/>
          <w:right w:val="single" w:color="D8E1DC" w:sz="4"/>
          <w:insideH w:val="single" w:color="auto" w:sz="4"/>
          <w:insideV w:val="single" w:color="auto" w:sz="4"/>
        </w:tblBorders>
      </w:tblPr>
      <w:tblGrid>
        <w:gridCol w:w="100"/>
        <w:gridCol w:w="100"/>
        <w:gridCol w:w="100"/>
      </w:tblGrid>
      <w:tr>
        <w:trPr>
          <w:tblHeader/>
        </w:trPr>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Coverage topic</w:t>
            </w:r>
          </w:p>
        </w:tc>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Status</w:t>
            </w:r>
          </w:p>
        </w:tc>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Policy assessment</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Transit Duration</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In order</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Attachment and termination of risk verified against bill of lading dates.</w:t>
            </w:r>
          </w:p>
        </w:tc>
      </w:tr>
      <w:tr>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Carrying Temperature</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Under review</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Logger readings indicate intermittent generator failure.</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Deductible / Excess</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Applied</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Policy excess of USD 2,500.00 deducted from gross adjusted loss.</w:t>
            </w:r>
          </w:p>
        </w:tc>
      </w:tr>
    </w:tbl>
    <w:p>
      <w:pPr>
        <w:spacing w:after="160"/>
      </w:pPr>
    </w:p>
    <w:p>
      <w:pPr>
        <w:pStyle w:val="Heading2"/>
        <w:pBdr>
          <w:bottom w:val="single" w:color="7FAEA4" w:sz="6" w:space="4"/>
        </w:pBdr>
        <w:spacing w:after="100" w:before="280"/>
      </w:pPr>
      <w:r>
        <w:rPr>
          <w:rFonts w:ascii="Source Sans 3" w:cs="Source Sans 3" w:eastAsia="Source Sans 3" w:hAnsi="Source Sans 3"/>
          <w:b/>
          <w:bCs/>
          <w:color w:val="1F8A79"/>
          <w:sz w:val="24"/>
          <w:szCs w:val="24"/>
        </w:rPr>
        <w:t xml:space="preserve">06. SCHEDULE OF DAMAGES &amp; ADJUSTMENT</w:t>
      </w:r>
    </w:p>
    <w:p>
      <w:pPr>
        <w:spacing w:after="120" w:line="276"/>
      </w:pPr>
      <w:r>
        <w:rPr>
          <w:rFonts w:ascii="Source Sans 3" w:cs="Source Sans 3" w:eastAsia="Source Sans 3" w:hAnsi="Source Sans 3"/>
          <w:color w:val="1F2937"/>
          <w:sz w:val="21"/>
          <w:szCs w:val="21"/>
        </w:rPr>
        <w:t xml:space="preserve">The loss quantum was arithmetically reconciled against verified commercial invoice item prices:</w:t>
      </w:r>
    </w:p>
    <w:tbl>
      <w:tblPr>
        <w:tblW w:type="pct" w:w="100%"/>
        <w:tblBorders>
          <w:top w:val="single" w:color="D8E1DC" w:sz="4"/>
          <w:left w:val="single" w:color="D8E1DC" w:sz="4"/>
          <w:bottom w:val="single" w:color="D8E1DC" w:sz="4"/>
          <w:right w:val="single" w:color="D8E1DC" w:sz="4"/>
          <w:insideH w:val="single" w:color="auto" w:sz="4"/>
          <w:insideV w:val="single" w:color="auto" w:sz="4"/>
        </w:tblBorders>
      </w:tblPr>
      <w:tblGrid>
        <w:gridCol w:w="100"/>
        <w:gridCol w:w="100"/>
        <w:gridCol w:w="100"/>
        <w:gridCol w:w="100"/>
      </w:tblGrid>
      <w:tr>
        <w:trPr>
          <w:tblHeader/>
        </w:trPr>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Description</w:t>
            </w:r>
          </w:p>
        </w:tc>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Damaged Quantity</w:t>
            </w:r>
          </w:p>
        </w:tc>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Unit Price (USD)</w:t>
            </w:r>
          </w:p>
        </w:tc>
        <w:tc>
          <w:tcPr>
            <w:tcBorders>
              <w:top w:val="single" w:color="D8E1DC" w:sz="4"/>
              <w:left w:val="single" w:color="D8E1DC" w:sz="4"/>
              <w:bottom w:val="single" w:color="D8E1DC" w:sz="4"/>
              <w:right w:val="single" w:color="D8E1DC" w:sz="4"/>
            </w:tcBorders>
            <w:shd w:fill="F3F7F4" w:val="clear"/>
            <w:tcMar>
              <w:top w:type="dxa" w:w="120"/>
              <w:left w:type="dxa" w:w="140"/>
              <w:bottom w:type="dxa" w:w="120"/>
              <w:right w:type="dxa" w:w="140"/>
            </w:tcMar>
          </w:tcPr>
          <w:p>
            <w:r>
              <w:rPr>
                <w:rFonts w:ascii="Source Sans 3" w:cs="Source Sans 3" w:eastAsia="Source Sans 3" w:hAnsi="Source Sans 3"/>
                <w:b/>
                <w:bCs/>
                <w:color w:val="111827"/>
                <w:sz w:val="20"/>
                <w:szCs w:val="20"/>
              </w:rPr>
              <w:t xml:space="preserve">Adjusted Loss (USD)</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Frozen Beef Cuts (25kg boxes)</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120 boxes</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right"/>
            </w:pPr>
            <w:r>
              <w:rPr>
                <w:rFonts w:ascii="Source Sans 3" w:cs="Source Sans 3" w:eastAsia="Source Sans 3" w:hAnsi="Source Sans 3"/>
                <w:color w:val="1F2937"/>
                <w:sz w:val="21"/>
                <w:szCs w:val="21"/>
              </w:rPr>
              <w:t xml:space="preserve">185.00</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right"/>
            </w:pPr>
            <w:r>
              <w:rPr>
                <w:rFonts w:ascii="Source Sans 3" w:cs="Source Sans 3" w:eastAsia="Source Sans 3" w:hAnsi="Source Sans 3"/>
                <w:color w:val="1F2937"/>
                <w:sz w:val="21"/>
                <w:szCs w:val="21"/>
              </w:rPr>
              <w:t xml:space="preserve">22,200.00</w:t>
            </w:r>
          </w:p>
        </w:tc>
      </w:tr>
      <w:tr>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Frozen Poultry Portions (15kg)</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240 boxes</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right"/>
            </w:pPr>
            <w:r>
              <w:rPr>
                <w:rFonts w:ascii="Source Sans 3" w:cs="Source Sans 3" w:eastAsia="Source Sans 3" w:hAnsi="Source Sans 3"/>
                <w:color w:val="1F2937"/>
                <w:sz w:val="21"/>
                <w:szCs w:val="21"/>
              </w:rPr>
              <w:t xml:space="preserve">72.50</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right"/>
            </w:pPr>
            <w:r>
              <w:rPr>
                <w:rFonts w:ascii="Source Sans 3" w:cs="Source Sans 3" w:eastAsia="Source Sans 3" w:hAnsi="Source Sans 3"/>
                <w:color w:val="1F2937"/>
                <w:sz w:val="21"/>
                <w:szCs w:val="21"/>
              </w:rPr>
              <w:t xml:space="preserve">17,400.00</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Frozen Mixed Vegetables</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150 boxes</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right"/>
            </w:pPr>
            <w:r>
              <w:rPr>
                <w:rFonts w:ascii="Source Sans 3" w:cs="Source Sans 3" w:eastAsia="Source Sans 3" w:hAnsi="Source Sans 3"/>
                <w:color w:val="1F2937"/>
                <w:sz w:val="21"/>
                <w:szCs w:val="21"/>
              </w:rPr>
              <w:t xml:space="preserve">31.00</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right"/>
            </w:pPr>
            <w:r>
              <w:rPr>
                <w:rFonts w:ascii="Source Sans 3" w:cs="Source Sans 3" w:eastAsia="Source Sans 3" w:hAnsi="Source Sans 3"/>
                <w:color w:val="1F2937"/>
                <w:sz w:val="21"/>
                <w:szCs w:val="21"/>
              </w:rPr>
              <w:t xml:space="preserve">4,650.00</w:t>
            </w:r>
          </w:p>
        </w:tc>
      </w:tr>
      <w:tr>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b/>
                <w:bCs/>
                <w:color w:val="1F2937"/>
                <w:sz w:val="21"/>
                <w:szCs w:val="21"/>
              </w:rPr>
              <w:t xml:space="preserve">Gross Adjusted Claim</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b/>
                <w:bCs/>
                <w:color w:val="1F2937"/>
                <w:sz w:val="21"/>
                <w:szCs w:val="21"/>
              </w:rPr>
              <w:t xml:space="preserve">USD 44,250.00</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Less: Agreed Salvage Realization</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(USD 2,500.00)</w:t>
            </w:r>
          </w:p>
        </w:tc>
      </w:tr>
      <w:tr>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Less: Applicable Policy Deductible</w:t>
            </w: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shd w:fill="F8FAF9" w:val="clear"/>
            <w:tcMar>
              <w:top w:type="dxa" w:w="100"/>
              <w:left w:type="dxa" w:w="140"/>
              <w:bottom w:type="dxa" w:w="100"/>
              <w:right w:type="dxa" w:w="140"/>
            </w:tcMar>
          </w:tcPr>
          <w:p>
            <w:pPr>
              <w:jc w:val="left"/>
            </w:pPr>
            <w:r>
              <w:rPr>
                <w:rFonts w:ascii="Source Sans 3" w:cs="Source Sans 3" w:eastAsia="Source Sans 3" w:hAnsi="Source Sans 3"/>
                <w:color w:val="1F2937"/>
                <w:sz w:val="21"/>
                <w:szCs w:val="21"/>
              </w:rPr>
              <w:t xml:space="preserve">(USD 2,500.00)</w:t>
            </w:r>
          </w:p>
        </w:tc>
      </w:tr>
      <w:tr>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b/>
                <w:bCs/>
                <w:color w:val="1F2937"/>
                <w:sz w:val="21"/>
                <w:szCs w:val="21"/>
              </w:rPr>
              <w:t xml:space="preserve">Net Concluded Indemnity</w:t>
            </w: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p>
        </w:tc>
        <w:tc>
          <w:tcPr>
            <w:tcBorders>
              <w:top w:val="single" w:color="D8E1DC" w:sz="4"/>
              <w:left w:val="single" w:color="D8E1DC" w:sz="4"/>
              <w:bottom w:val="single" w:color="D8E1DC" w:sz="4"/>
              <w:right w:val="single" w:color="D8E1DC" w:sz="4"/>
            </w:tcBorders>
            <w:tcMar>
              <w:top w:type="dxa" w:w="100"/>
              <w:left w:type="dxa" w:w="140"/>
              <w:bottom w:type="dxa" w:w="100"/>
              <w:right w:type="dxa" w:w="140"/>
            </w:tcMar>
          </w:tcPr>
          <w:p>
            <w:pPr>
              <w:jc w:val="left"/>
            </w:pPr>
            <w:r>
              <w:rPr>
                <w:rFonts w:ascii="Source Sans 3" w:cs="Source Sans 3" w:eastAsia="Source Sans 3" w:hAnsi="Source Sans 3"/>
                <w:b/>
                <w:bCs/>
                <w:color w:val="1F2937"/>
                <w:sz w:val="21"/>
                <w:szCs w:val="21"/>
              </w:rPr>
              <w:t xml:space="preserve">USD 39,250.00</w:t>
            </w:r>
          </w:p>
        </w:tc>
      </w:tr>
    </w:tbl>
    <w:p>
      <w:pPr>
        <w:spacing w:after="160"/>
      </w:pPr>
    </w:p>
    <w:p>
      <w:pPr>
        <w:pStyle w:val="Heading2"/>
        <w:pBdr>
          <w:bottom w:val="single" w:color="7FAEA4" w:sz="6" w:space="4"/>
        </w:pBdr>
        <w:spacing w:after="100" w:before="280"/>
      </w:pPr>
      <w:r>
        <w:rPr>
          <w:rFonts w:ascii="Source Sans 3" w:cs="Source Sans 3" w:eastAsia="Source Sans 3" w:hAnsi="Source Sans 3"/>
          <w:b/>
          <w:bCs/>
          <w:color w:val="1F8A79"/>
          <w:sz w:val="24"/>
          <w:szCs w:val="24"/>
        </w:rPr>
        <w:t xml:space="preserve">07. SUBROGATION &amp; THIRD-PARTY RECOVERY</w:t>
      </w:r>
    </w:p>
    <w:p>
      <w:pPr>
        <w:spacing w:after="120" w:line="276"/>
      </w:pPr>
      <w:r>
        <w:rPr>
          <w:rFonts w:ascii="Source Sans 3" w:cs="Source Sans 3" w:eastAsia="Source Sans 3" w:hAnsi="Source Sans 3"/>
          <w:color w:val="1F2937"/>
          <w:sz w:val="21"/>
          <w:szCs w:val="21"/>
        </w:rPr>
        <w:t xml:space="preserve">Notices of claim holding the ocean carrier and feeder terminal strictly liable were dispatched in accordance with Hague-Visby time limits.</w:t>
      </w:r>
    </w:p>
    <w:p>
      <w:pPr>
        <w:pStyle w:val="Heading2"/>
        <w:pBdr>
          <w:bottom w:val="single" w:color="7FAEA4" w:sz="6" w:space="4"/>
        </w:pBdr>
        <w:spacing w:after="100" w:before="280"/>
      </w:pPr>
      <w:r>
        <w:rPr>
          <w:rFonts w:ascii="Source Sans 3" w:cs="Source Sans 3" w:eastAsia="Source Sans 3" w:hAnsi="Source Sans 3"/>
          <w:b/>
          <w:bCs/>
          <w:color w:val="1F8A79"/>
          <w:sz w:val="24"/>
          <w:szCs w:val="24"/>
        </w:rPr>
        <w:t xml:space="preserve">08. CONCLUSIONS &amp; RECOMMENDATIONS</w:t>
      </w:r>
    </w:p>
    <w:p>
      <w:pPr>
        <w:spacing w:after="80"/>
      </w:pPr>
      <w:r>
        <w:rPr>
          <w:rFonts w:ascii="Source Sans 3" w:cs="Source Sans 3" w:eastAsia="Source Sans 3" w:hAnsi="Source Sans 3"/>
          <w:b/>
          <w:bCs/>
          <w:color w:val="1F8A79"/>
          <w:sz w:val="21"/>
          <w:szCs w:val="21"/>
        </w:rPr>
        <w:t xml:space="preserve">1. </w:t>
      </w:r>
      <w:r>
        <w:rPr>
          <w:rFonts w:ascii="Source Sans 3" w:cs="Source Sans 3" w:eastAsia="Source Sans 3" w:hAnsi="Source Sans 3"/>
          <w:color w:val="1F2937"/>
          <w:sz w:val="21"/>
          <w:szCs w:val="21"/>
        </w:rPr>
        <w:t xml:space="preserve">The adjusted claim amount reconciles arithmetically to </w:t>
      </w:r>
      <w:r>
        <w:rPr>
          <w:rFonts w:ascii="Source Sans 3" w:cs="Source Sans 3" w:eastAsia="Source Sans 3" w:hAnsi="Source Sans 3"/>
          <w:b/>
          <w:bCs/>
          <w:color w:val="1F2937"/>
          <w:sz w:val="21"/>
          <w:szCs w:val="21"/>
        </w:rPr>
        <w:t xml:space="preserve">USD 39,250.00</w:t>
      </w:r>
      <w:r>
        <w:rPr>
          <w:rFonts w:ascii="Source Sans 3" w:cs="Source Sans 3" w:eastAsia="Source Sans 3" w:hAnsi="Source Sans 3"/>
          <w:color w:val="1F2937"/>
          <w:sz w:val="21"/>
          <w:szCs w:val="21"/>
        </w:rPr>
        <w:t xml:space="preserve">.</w:t>
      </w:r>
    </w:p>
    <w:p>
      <w:pPr>
        <w:spacing w:after="80"/>
      </w:pPr>
      <w:r>
        <w:rPr>
          <w:rFonts w:ascii="Source Sans 3" w:cs="Source Sans 3" w:eastAsia="Source Sans 3" w:hAnsi="Source Sans 3"/>
          <w:b/>
          <w:bCs/>
          <w:color w:val="1F8A79"/>
          <w:sz w:val="21"/>
          <w:szCs w:val="21"/>
        </w:rPr>
        <w:t xml:space="preserve">2. </w:t>
      </w:r>
      <w:r>
        <w:rPr>
          <w:rFonts w:ascii="Source Sans 3" w:cs="Source Sans 3" w:eastAsia="Source Sans 3" w:hAnsi="Source Sans 3"/>
          <w:color w:val="1F2937"/>
          <w:sz w:val="21"/>
          <w:szCs w:val="21"/>
        </w:rPr>
        <w:t xml:space="preserve">We recommend settlement against subrogation receipt and assignment of recovery rights against the performing carrier.</w:t>
      </w:r>
    </w:p>
    <w:p>
      <w:r>
        <w:br w:type="page"/>
      </w:r>
    </w:p>
    <w:p>
      <w:pPr>
        <w:pBdr>
          <w:top w:val="single" w:color="1F8A79" w:sz="24" w:space="1"/>
        </w:pBdr>
        <w:spacing w:after="180"/>
      </w:pPr>
    </w:p>
    <w:p>
      <w:pPr>
        <w:pStyle w:val="Heading1"/>
        <w:spacing w:after="160"/>
      </w:pPr>
      <w:r>
        <w:rPr>
          <w:rFonts w:ascii="Source Sans 3" w:cs="Source Sans 3" w:eastAsia="Source Sans 3" w:hAnsi="Source Sans 3"/>
          <w:b/>
          <w:bCs/>
          <w:color w:val="111827"/>
          <w:sz w:val="32"/>
          <w:szCs w:val="32"/>
        </w:rPr>
        <w:t xml:space="preserve">ABOUT ULA</w:t>
      </w:r>
    </w:p>
    <w:p>
      <w:pPr>
        <w:spacing w:after="120" w:line="276"/>
      </w:pPr>
      <w:r>
        <w:rPr>
          <w:rFonts w:ascii="Source Sans 3" w:cs="Source Sans 3" w:eastAsia="Source Sans 3" w:hAnsi="Source Sans 3"/>
          <w:b/>
          <w:bCs/>
          <w:color w:val="111827"/>
          <w:sz w:val="21"/>
          <w:szCs w:val="21"/>
        </w:rPr>
        <w:t xml:space="preserve">United Loss Adjusters and Surveyors (ULA)</w:t>
      </w:r>
      <w:r>
        <w:rPr>
          <w:rFonts w:ascii="Source Sans 3" w:cs="Source Sans 3" w:eastAsia="Source Sans 3" w:hAnsi="Source Sans 3"/>
          <w:color w:val="1F2937"/>
          <w:sz w:val="21"/>
          <w:szCs w:val="21"/>
        </w:rPr>
        <w:t xml:space="preserve"> is a leading international provider of Adjusters, Surveyors, Solicitors and Consultants, offering unrivalled technical and legal solutions with exclusive access to the London Market's leading specialists.</w:t>
      </w:r>
    </w:p>
    <w:p>
      <w:pPr>
        <w:spacing w:after="160" w:line="276"/>
      </w:pPr>
      <w:r>
        <w:rPr>
          <w:rFonts w:ascii="Source Sans 3" w:cs="Source Sans 3" w:eastAsia="Source Sans 3" w:hAnsi="Source Sans 3"/>
          <w:color w:val="1F2937"/>
          <w:sz w:val="21"/>
          <w:szCs w:val="21"/>
        </w:rPr>
        <w:t xml:space="preserve">Founded in 2002, with strategic head offices in the Middle East and the United Kingdom, today ULA is the strategic ally of a world 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w:t>
      </w:r>
    </w:p>
    <w:p>
      <w:pPr>
        <w:spacing w:after="80" w:before="140"/>
      </w:pPr>
      <w:r>
        <w:rPr>
          <w:rFonts w:ascii="Source Sans 3" w:cs="Source Sans 3" w:eastAsia="Source Sans 3" w:hAnsi="Source Sans 3"/>
          <w:b/>
          <w:bCs/>
          <w:color w:val="1F8A79"/>
          <w:sz w:val="22"/>
          <w:szCs w:val="22"/>
        </w:rPr>
        <w:t xml:space="preserve">Lines of business:</w:t>
      </w:r>
    </w:p>
    <w:p>
      <w:pPr>
        <w:pStyle w:val="ListParagraph"/>
        <w:numPr>
          <w:ilvl w:val="0"/>
          <w:numId w:val="1"/>
        </w:numPr>
        <w:spacing w:after="60"/>
      </w:pPr>
      <w:r>
        <w:rPr>
          <w:rFonts w:ascii="Source Sans 3" w:cs="Source Sans 3" w:eastAsia="Source Sans 3" w:hAnsi="Source Sans 3"/>
          <w:color w:val="1F2937"/>
          <w:sz w:val="21"/>
          <w:szCs w:val="21"/>
        </w:rPr>
        <w:t xml:space="preserve">Insurance &amp; Re-insurance</w:t>
      </w:r>
    </w:p>
    <w:p>
      <w:pPr>
        <w:pStyle w:val="ListParagraph"/>
        <w:numPr>
          <w:ilvl w:val="0"/>
          <w:numId w:val="1"/>
        </w:numPr>
        <w:spacing w:after="60"/>
      </w:pPr>
      <w:r>
        <w:rPr>
          <w:rFonts w:ascii="Source Sans 3" w:cs="Source Sans 3" w:eastAsia="Source Sans 3" w:hAnsi="Source Sans 3"/>
          <w:color w:val="1F2937"/>
          <w:sz w:val="21"/>
          <w:szCs w:val="21"/>
        </w:rPr>
        <w:t xml:space="preserve">Claims solutions and loss adjusting across all major lines: aviation, cargo, marine, property, fine arts and special risks claims</w:t>
      </w:r>
    </w:p>
    <w:p>
      <w:pPr>
        <w:pStyle w:val="ListParagraph"/>
        <w:numPr>
          <w:ilvl w:val="0"/>
          <w:numId w:val="1"/>
        </w:numPr>
        <w:spacing w:after="60"/>
      </w:pPr>
      <w:r>
        <w:rPr>
          <w:rFonts w:ascii="Source Sans 3" w:cs="Source Sans 3" w:eastAsia="Source Sans 3" w:hAnsi="Source Sans 3"/>
          <w:color w:val="1F2937"/>
          <w:sz w:val="21"/>
          <w:szCs w:val="21"/>
        </w:rPr>
        <w:t xml:space="preserve">Cargo &amp; Containers</w:t>
      </w:r>
    </w:p>
    <w:p>
      <w:pPr>
        <w:pStyle w:val="ListParagraph"/>
        <w:numPr>
          <w:ilvl w:val="0"/>
          <w:numId w:val="1"/>
        </w:numPr>
        <w:spacing w:after="60"/>
      </w:pPr>
      <w:r>
        <w:rPr>
          <w:rFonts w:ascii="Source Sans 3" w:cs="Source Sans 3" w:eastAsia="Source Sans 3" w:hAnsi="Source Sans 3"/>
          <w:color w:val="1F2937"/>
          <w:sz w:val="21"/>
          <w:szCs w:val="21"/>
        </w:rPr>
        <w:t xml:space="preserve">Marine &amp; Offshore</w:t>
      </w:r>
    </w:p>
    <w:p>
      <w:pPr>
        <w:pStyle w:val="ListParagraph"/>
        <w:numPr>
          <w:ilvl w:val="0"/>
          <w:numId w:val="1"/>
        </w:numPr>
        <w:spacing w:after="60"/>
      </w:pPr>
      <w:r>
        <w:rPr>
          <w:rFonts w:ascii="Source Sans 3" w:cs="Source Sans 3" w:eastAsia="Source Sans 3" w:hAnsi="Source Sans 3"/>
          <w:color w:val="1F2937"/>
          <w:sz w:val="21"/>
          <w:szCs w:val="21"/>
        </w:rPr>
        <w:t xml:space="preserve">Global Claim Recoveries &amp; Legal Support</w:t>
      </w:r>
    </w:p>
    <w:p>
      <w:pPr>
        <w:spacing w:after="80" w:before="140"/>
      </w:pPr>
      <w:r>
        <w:rPr>
          <w:rFonts w:ascii="Source Sans 3" w:cs="Source Sans 3" w:eastAsia="Source Sans 3" w:hAnsi="Source Sans 3"/>
          <w:b/>
          <w:bCs/>
          <w:color w:val="1F8A79"/>
          <w:sz w:val="22"/>
          <w:szCs w:val="22"/>
        </w:rPr>
        <w:t xml:space="preserve">Our team:</w:t>
      </w:r>
    </w:p>
    <w:p>
      <w:pPr>
        <w:spacing w:after="160" w:line="276"/>
      </w:pPr>
      <w:r>
        <w:rPr>
          <w:rFonts w:ascii="Source Sans 3" w:cs="Source Sans 3" w:eastAsia="Source Sans 3" w:hAnsi="Source Sans 3"/>
          <w:color w:val="1F2937"/>
          <w:sz w:val="21"/>
          <w:szCs w:val="21"/>
        </w:rPr>
        <w:t xml:space="preserve">Our team of qualified professionals is experienced in the fields of Marine, Insurance, Finance, Engineering and Law, known and respected for their integrity and credibility. Supported by a highly mobile team strategically positioned where our services are needed, we are always available on short notice to deal promptly with your queries. ULA is independent to the core and can be trusted to express unbiased views, not influenced by stakeholders.</w:t>
      </w:r>
    </w:p>
    <w:p>
      <w:pPr>
        <w:spacing w:after="80" w:before="140"/>
      </w:pPr>
      <w:r>
        <w:rPr>
          <w:rFonts w:ascii="Source Sans 3" w:cs="Source Sans 3" w:eastAsia="Source Sans 3" w:hAnsi="Source Sans 3"/>
          <w:b/>
          <w:bCs/>
          <w:color w:val="1F8A79"/>
          <w:sz w:val="22"/>
          <w:szCs w:val="22"/>
        </w:rPr>
        <w:t xml:space="preserve">ULA’s team members are recognised members of the following international institutions:</w:t>
      </w:r>
    </w:p>
    <w:p>
      <w:pPr>
        <w:pStyle w:val="ListParagraph"/>
        <w:numPr>
          <w:ilvl w:val="0"/>
          <w:numId w:val="1"/>
        </w:numPr>
        <w:spacing w:after="50"/>
      </w:pPr>
      <w:r>
        <w:rPr>
          <w:rFonts w:ascii="Source Sans 3" w:cs="Source Sans 3" w:eastAsia="Source Sans 3" w:hAnsi="Source Sans 3"/>
          <w:color w:val="1F2937"/>
          <w:sz w:val="20"/>
          <w:szCs w:val="20"/>
        </w:rPr>
        <w:t xml:space="preserve">The Association of Average Adjusters (AAA)</w:t>
      </w:r>
    </w:p>
    <w:p>
      <w:pPr>
        <w:pStyle w:val="ListParagraph"/>
        <w:numPr>
          <w:ilvl w:val="0"/>
          <w:numId w:val="1"/>
        </w:numPr>
        <w:spacing w:after="50"/>
      </w:pPr>
      <w:r>
        <w:rPr>
          <w:rFonts w:ascii="Source Sans 3" w:cs="Source Sans 3" w:eastAsia="Source Sans 3" w:hAnsi="Source Sans 3"/>
          <w:color w:val="1F2937"/>
          <w:sz w:val="20"/>
          <w:szCs w:val="20"/>
        </w:rPr>
        <w:t xml:space="preserve">The Bar Council of England and Wales</w:t>
      </w:r>
    </w:p>
    <w:p>
      <w:pPr>
        <w:pStyle w:val="ListParagraph"/>
        <w:numPr>
          <w:ilvl w:val="0"/>
          <w:numId w:val="1"/>
        </w:numPr>
        <w:spacing w:after="50"/>
      </w:pPr>
      <w:r>
        <w:rPr>
          <w:rFonts w:ascii="Source Sans 3" w:cs="Source Sans 3" w:eastAsia="Source Sans 3" w:hAnsi="Source Sans 3"/>
          <w:color w:val="1F2937"/>
          <w:sz w:val="20"/>
          <w:szCs w:val="20"/>
        </w:rPr>
        <w:t xml:space="preserve">The Chartered Insurance Institute (CII)</w:t>
      </w:r>
    </w:p>
    <w:p>
      <w:pPr>
        <w:pStyle w:val="ListParagraph"/>
        <w:numPr>
          <w:ilvl w:val="0"/>
          <w:numId w:val="1"/>
        </w:numPr>
        <w:spacing w:after="50"/>
      </w:pPr>
      <w:r>
        <w:rPr>
          <w:rFonts w:ascii="Source Sans 3" w:cs="Source Sans 3" w:eastAsia="Source Sans 3" w:hAnsi="Source Sans 3"/>
          <w:color w:val="1F2937"/>
          <w:sz w:val="20"/>
          <w:szCs w:val="20"/>
        </w:rPr>
        <w:t xml:space="preserve">The Chartered Institute of Loss Adjusters (CILA)</w:t>
      </w:r>
    </w:p>
    <w:p>
      <w:pPr>
        <w:pStyle w:val="ListParagraph"/>
        <w:numPr>
          <w:ilvl w:val="0"/>
          <w:numId w:val="1"/>
        </w:numPr>
        <w:spacing w:after="50"/>
      </w:pPr>
      <w:r>
        <w:rPr>
          <w:rFonts w:ascii="Source Sans 3" w:cs="Source Sans 3" w:eastAsia="Source Sans 3" w:hAnsi="Source Sans 3"/>
          <w:color w:val="1F2937"/>
          <w:sz w:val="20"/>
          <w:szCs w:val="20"/>
        </w:rPr>
        <w:t xml:space="preserve">The European Federation of Loss Adjusting Experts (FUEDI)</w:t>
      </w:r>
    </w:p>
    <w:p>
      <w:pPr>
        <w:pStyle w:val="ListParagraph"/>
        <w:numPr>
          <w:ilvl w:val="0"/>
          <w:numId w:val="1"/>
        </w:numPr>
        <w:spacing w:after="50"/>
      </w:pPr>
      <w:r>
        <w:rPr>
          <w:rFonts w:ascii="Source Sans 3" w:cs="Source Sans 3" w:eastAsia="Source Sans 3" w:hAnsi="Source Sans 3"/>
          <w:color w:val="1F2937"/>
          <w:sz w:val="20"/>
          <w:szCs w:val="20"/>
        </w:rPr>
        <w:t xml:space="preserve">The Institute of Marine Engineering, Science and Technology (IMarEST)</w:t>
      </w:r>
    </w:p>
    <w:p>
      <w:pPr>
        <w:pStyle w:val="ListParagraph"/>
        <w:numPr>
          <w:ilvl w:val="0"/>
          <w:numId w:val="1"/>
        </w:numPr>
        <w:spacing w:after="50"/>
      </w:pPr>
      <w:r>
        <w:rPr>
          <w:rFonts w:ascii="Source Sans 3" w:cs="Source Sans 3" w:eastAsia="Source Sans 3" w:hAnsi="Source Sans 3"/>
          <w:color w:val="1F2937"/>
          <w:sz w:val="20"/>
          <w:szCs w:val="20"/>
        </w:rPr>
        <w:t xml:space="preserve">The Royal Institution of Naval Architects (RINA)</w:t>
      </w:r>
    </w:p>
    <w:p>
      <w:pPr>
        <w:pStyle w:val="ListParagraph"/>
        <w:numPr>
          <w:ilvl w:val="0"/>
          <w:numId w:val="1"/>
        </w:numPr>
        <w:spacing w:after="50"/>
      </w:pPr>
      <w:r>
        <w:rPr>
          <w:rFonts w:ascii="Source Sans 3" w:cs="Source Sans 3" w:eastAsia="Source Sans 3" w:hAnsi="Source Sans 3"/>
          <w:color w:val="1F2937"/>
          <w:sz w:val="20"/>
          <w:szCs w:val="20"/>
        </w:rPr>
        <w:t xml:space="preserve">The Royal Institution of Chartered Surveyors (RICS)</w:t>
      </w:r>
    </w:p>
    <w:p>
      <w:r>
        <w:br w:type="page"/>
      </w:r>
    </w:p>
    <w:p>
      <w:pPr>
        <w:spacing w:after="120" w:before="40"/>
        <w:jc w:val="center"/>
      </w:pPr>
      <w:r>
        <w:drawing>
          <wp:inline distT="0" distB="0" distL="0" distR="0">
            <wp:extent cx="14763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76375" cy="457200"/>
                    </a:xfrm>
                    <a:prstGeom prst="rect">
                      <a:avLst/>
                    </a:prstGeom>
                  </pic:spPr>
                </pic:pic>
              </a:graphicData>
            </a:graphic>
          </wp:inline>
        </w:drawing>
      </w:r>
    </w:p>
    <w:p>
      <w:pPr>
        <w:spacing w:after="60"/>
      </w:pPr>
      <w:r>
        <w:rPr>
          <w:rFonts w:ascii="Source Sans 3" w:cs="Source Sans 3" w:eastAsia="Source Sans 3" w:hAnsi="Source Sans 3"/>
          <w:b/>
          <w:bCs/>
          <w:color w:val="111827"/>
          <w:sz w:val="22"/>
          <w:szCs w:val="22"/>
        </w:rPr>
        <w:t xml:space="preserve">Contact person
</w:t>
      </w:r>
      <w:r>
        <w:rPr>
          <w:rFonts w:ascii="Source Sans 3" w:cs="Source Sans 3" w:eastAsia="Source Sans 3" w:hAnsi="Source Sans 3"/>
          <w:b/>
          <w:bCs/>
          <w:color w:val="111827"/>
          <w:sz w:val="21"/>
          <w:szCs w:val="21"/>
          <w:u w:val="single"/>
        </w:rPr>
        <w:t xml:space="preserve">Petro Zaarour
</w:t>
      </w:r>
      <w:r>
        <w:rPr>
          <w:rFonts w:ascii="Source Sans 3" w:cs="Source Sans 3" w:eastAsia="Source Sans 3" w:hAnsi="Source Sans 3"/>
          <w:color w:val="6B7280"/>
          <w:sz w:val="20"/>
          <w:szCs w:val="20"/>
        </w:rPr>
        <w:t xml:space="preserve">Director</w:t>
      </w:r>
    </w:p>
    <w:p>
      <w:pPr>
        <w:spacing w:after="80" w:line="260"/>
      </w:pPr>
      <w:r>
        <w:rPr>
          <w:rFonts w:ascii="Source Sans 3" w:cs="Source Sans 3" w:eastAsia="Source Sans 3" w:hAnsi="Source Sans 3"/>
          <w:b/>
          <w:bCs/>
          <w:color w:val="111827"/>
          <w:sz w:val="20"/>
          <w:szCs w:val="20"/>
        </w:rPr>
        <w:t xml:space="preserve">United Kingdom: </w:t>
      </w:r>
      <w:r>
        <w:rPr>
          <w:rFonts w:ascii="Source Sans 3" w:cs="Source Sans 3" w:eastAsia="Source Sans 3" w:hAnsi="Source Sans 3"/>
          <w:color w:val="1F2937"/>
          <w:sz w:val="20"/>
          <w:szCs w:val="20"/>
        </w:rPr>
        <w:t xml:space="preserve">71-75 Shelton Street, Covent Garden | London, England - WC2H 9JQ
</w:t>
      </w:r>
      <w:r>
        <w:rPr>
          <w:rFonts w:ascii="Source Sans 3" w:cs="Source Sans 3" w:eastAsia="Source Sans 3" w:hAnsi="Source Sans 3"/>
          <w:b/>
          <w:bCs/>
          <w:color w:val="111827"/>
          <w:sz w:val="20"/>
          <w:szCs w:val="20"/>
        </w:rPr>
        <w:t xml:space="preserve">Middle East: </w:t>
      </w:r>
      <w:r>
        <w:rPr>
          <w:rFonts w:ascii="Source Sans 3" w:cs="Source Sans 3" w:eastAsia="Source Sans 3" w:hAnsi="Source Sans 3"/>
          <w:color w:val="1F2937"/>
          <w:sz w:val="20"/>
          <w:szCs w:val="20"/>
        </w:rPr>
        <w:t xml:space="preserve">Mina Tower, Ain Warda Street | Beirut, Lebanon - WG2G+5CX
</w:t>
      </w:r>
      <w:r>
        <w:rPr>
          <w:rFonts w:ascii="Source Sans 3" w:cs="Source Sans 3" w:eastAsia="Source Sans 3" w:hAnsi="Source Sans 3"/>
          <w:b/>
          <w:bCs/>
          <w:color w:val="111827"/>
          <w:sz w:val="20"/>
          <w:szCs w:val="20"/>
        </w:rPr>
        <w:t xml:space="preserve">Registered name: </w:t>
      </w:r>
      <w:r>
        <w:rPr>
          <w:rFonts w:ascii="Source Sans 3" w:cs="Source Sans 3" w:eastAsia="Source Sans 3" w:hAnsi="Source Sans 3"/>
          <w:color w:val="1F2937"/>
          <w:sz w:val="20"/>
          <w:szCs w:val="20"/>
        </w:rPr>
        <w:t xml:space="preserve">United Loss Adjusters and Surveyors Ltd.
</w:t>
      </w:r>
      <w:r>
        <w:rPr>
          <w:rFonts w:ascii="Source Sans 3" w:cs="Source Sans 3" w:eastAsia="Source Sans 3" w:hAnsi="Source Sans 3"/>
          <w:b/>
          <w:bCs/>
          <w:color w:val="111827"/>
          <w:sz w:val="20"/>
          <w:szCs w:val="20"/>
        </w:rPr>
        <w:t xml:space="preserve">24/7 Contacts &amp; Claim Support: </w:t>
      </w:r>
      <w:r>
        <w:rPr>
          <w:rFonts w:ascii="Source Sans 3" w:cs="Source Sans 3" w:eastAsia="Source Sans 3" w:hAnsi="Source Sans 3"/>
          <w:color w:val="1F2937"/>
          <w:sz w:val="20"/>
          <w:szCs w:val="20"/>
        </w:rPr>
        <w:t xml:space="preserve">T: +44 (0) 20 3287 3326 | M/WhatsApp: +44 (0) 7 375 110 573
</w:t>
      </w:r>
      <w:r>
        <w:rPr>
          <w:rFonts w:ascii="Source Sans 3" w:cs="Source Sans 3" w:eastAsia="Source Sans 3" w:hAnsi="Source Sans 3"/>
          <w:b/>
          <w:bCs/>
          <w:color w:val="111827"/>
          <w:sz w:val="20"/>
          <w:szCs w:val="20"/>
        </w:rPr>
        <w:t xml:space="preserve">Office E: </w:t>
      </w:r>
      <w:r>
        <w:rPr>
          <w:rFonts w:ascii="Source Sans 3" w:cs="Source Sans 3" w:eastAsia="Source Sans 3" w:hAnsi="Source Sans 3"/>
          <w:color w:val="1F8A79"/>
          <w:sz w:val="20"/>
          <w:szCs w:val="20"/>
          <w:u w:val="single"/>
        </w:rPr>
        <w:t xml:space="preserve">claims@unitedlossadjusters.com</w:t>
      </w:r>
      <w:r>
        <w:rPr>
          <w:rFonts w:ascii="Source Sans 3" w:cs="Source Sans 3" w:eastAsia="Source Sans 3" w:hAnsi="Source Sans 3"/>
          <w:color w:val="6B7280"/>
          <w:sz w:val="20"/>
          <w:szCs w:val="20"/>
        </w:rPr>
        <w:t xml:space="preserve">  |  </w:t>
      </w:r>
      <w:r>
        <w:rPr>
          <w:rFonts w:ascii="Source Sans 3" w:cs="Source Sans 3" w:eastAsia="Source Sans 3" w:hAnsi="Source Sans 3"/>
          <w:b/>
          <w:bCs/>
          <w:color w:val="111827"/>
          <w:sz w:val="20"/>
          <w:szCs w:val="20"/>
        </w:rPr>
        <w:t xml:space="preserve">W: </w:t>
      </w:r>
      <w:r>
        <w:rPr>
          <w:rFonts w:ascii="Source Sans 3" w:cs="Source Sans 3" w:eastAsia="Source Sans 3" w:hAnsi="Source Sans 3"/>
          <w:color w:val="1F8A79"/>
          <w:sz w:val="20"/>
          <w:szCs w:val="20"/>
          <w:u w:val="single"/>
        </w:rPr>
        <w:t xml:space="preserve">https://www.unitedlossadjusters.com/</w:t>
      </w:r>
    </w:p>
    <w:p>
      <w:pPr>
        <w:spacing w:after="120" w:before="80"/>
        <w:jc w:val="center"/>
      </w:pPr>
      <w:r>
        <w:drawing>
          <wp:inline distT="0" distB="0" distL="0" distR="0">
            <wp:extent cx="219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143250"/>
                    </a:xfrm>
                    <a:prstGeom prst="rect">
                      <a:avLst/>
                    </a:prstGeom>
                  </pic:spPr>
                </pic:pic>
              </a:graphicData>
            </a:graphic>
          </wp:inline>
        </w:drawing>
      </w:r>
    </w:p>
    <w:p>
      <w:pPr>
        <w:pBdr>
          <w:top w:val="single" w:color="D8E1DC" w:sz="8" w:space="6"/>
        </w:pBdr>
        <w:spacing w:after="60" w:before="120" w:line="240"/>
        <w:jc w:val="both"/>
      </w:pPr>
      <w:r>
        <w:rPr>
          <w:rFonts w:ascii="Source Sans 3" w:cs="Source Sans 3" w:eastAsia="Source Sans 3" w:hAnsi="Source Sans 3"/>
          <w:color w:val="6B7280"/>
          <w:sz w:val="16"/>
          <w:szCs w:val="16"/>
        </w:rPr>
        <w:t xml:space="preserve">United Loss Adjusters &amp; Surveyors Ltd., ULA and any variants are trading names of United Loss Adjusters &amp; Surveyors, its subsidiaries and affiliates. United Loss Adjusters &amp; Surveyors is a limited company registered in England &amp; Wales (Reg. 14407381).</w:t>
      </w:r>
    </w:p>
    <w:p>
      <w:pPr>
        <w:spacing w:after="0" w:line="240"/>
        <w:jc w:val="both"/>
      </w:pPr>
      <w:r>
        <w:rPr>
          <w:rFonts w:ascii="Source Sans 3" w:cs="Source Sans 3" w:eastAsia="Source Sans 3" w:hAnsi="Source Sans 3"/>
          <w:color w:val="6B7280"/>
          <w:sz w:val="16"/>
          <w:szCs w:val="16"/>
        </w:rPr>
        <w:t xml:space="preserve">United Loss Adjusters &amp; Surveyors Limited (ULA),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sectPr>
      <w:headerReference w:type="default" r:id="rId7"/>
      <w:headerReference w:type="first" r:id="rId8"/>
      <w:footerReference w:type="default" r:id="rId9"/>
      <w:footerReference w:type="first" r:id="rId10"/>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AEA4" w:sz="6" w:space="4"/>
      </w:pBdr>
      <w:spacing w:after="0" w:before="80"/>
    </w:pPr>
    <w:r>
      <w:rPr>
        <w:rFonts w:ascii="Source Sans 3" w:cs="Source Sans 3" w:eastAsia="Source Sans 3" w:hAnsi="Source Sans 3"/>
        <w:color w:val="6B7280"/>
        <w:sz w:val="16"/>
        <w:szCs w:val="16"/>
      </w:rPr>
      <w:t xml:space="preserve">Date: 19 August 2026 · United Loss Adjusters &amp; Surveyors 2026© · ULA-FORM-011-01      Page </w:t>
    </w:r>
    <w:r>
      <w:rPr>
        <w:rFonts w:ascii="Source Sans 3" w:cs="Source Sans 3" w:eastAsia="Source Sans 3" w:hAnsi="Source Sans 3"/>
        <w:color w:val="6B7280"/>
        <w:sz w:val="16"/>
        <w:szCs w:val="16"/>
      </w:rPr>
      <w:fldChar w:fldCharType="begin"/>
      <w:instrText xml:space="preserve">PAGE</w:instrText>
      <w:fldChar w:fldCharType="separate"/>
      <w:fldChar w:fldCharType="end"/>
    </w:r>
    <w:r>
      <w:rPr>
        <w:rFonts w:ascii="Source Sans 3" w:cs="Source Sans 3" w:eastAsia="Source Sans 3" w:hAnsi="Source Sans 3"/>
        <w:color w:val="6B7280"/>
        <w:sz w:val="16"/>
        <w:szCs w:val="16"/>
      </w:rPr>
      <w:t xml:space="preserve"> of </w:t>
    </w:r>
    <w:r>
      <w:rPr>
        <w:rFonts w:ascii="Source Sans 3" w:cs="Source Sans 3" w:eastAsia="Source Sans 3" w:hAnsi="Source Sans 3"/>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ource Sans 3" w:cs="Source Sans 3" w:eastAsia="Source Sans 3" w:hAnsi="Source Sans 3"/>
        <w:color w:val="6B7280"/>
        <w:sz w:val="15"/>
        <w:szCs w:val="15"/>
      </w:rPr>
      <w:t xml:space="preserve">UNITED LOSS ADJUSTERS &amp; SURVEYORS — OFFICIAL LOSS ADJUSTING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141b2246ac4416a38fff236751f9c594e8b7f9f.png"/><Relationship Id="rId12" Type="http://schemas.openxmlformats.org/officeDocument/2006/relationships/image" Target="media/a6bfd637525dc0417688a59fea52e3fc5dd67d21.png"/><Relationship Id="rId13" Type="http://schemas.openxmlformats.org/officeDocument/2006/relationships/image" Target="media/08a453a3f9e90b115e12a3fe7a35c95bfc2dd8a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GlobalShield Marine Assurance PLC – M/s. Levantine General Trading &amp; Logistics S.A.L. – Reefer container cargo deterioration due to temperature deviation</dc:title>
  <dc:creator>United Loss Adjusters &amp; Surveyors</dc:creator>
  <dc:description>Official Loss Adjusting Survey Report</dc:description>
  <cp:lastModifiedBy>Un-named</cp:lastModifiedBy>
  <cp:revision>1</cp:revision>
  <dcterms:created xsi:type="dcterms:W3CDTF">2026-08-19T12:27:33.543Z</dcterms:created>
  <dcterms:modified xsi:type="dcterms:W3CDTF">2026-08-19T12:27:33.544Z</dcterms:modified>
</cp:coreProperties>
</file>

<file path=docProps/custom.xml><?xml version="1.0" encoding="utf-8"?>
<Properties xmlns="http://schemas.openxmlformats.org/officeDocument/2006/custom-properties" xmlns:vt="http://schemas.openxmlformats.org/officeDocument/2006/docPropsVTypes"/>
</file>