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1"/>
        </w:numPr>
        <w:ind w:left="720" w:hanging="360"/>
        <w:jc w:val="center"/>
        <w:rPr/>
      </w:pPr>
      <w:bookmarkStart w:colFirst="0" w:colLast="0" w:name="_3x6wu299rpe" w:id="0"/>
      <w:bookmarkEnd w:id="0"/>
      <w:r w:rsidDel="00000000" w:rsidR="00000000" w:rsidRPr="00000000">
        <w:rPr>
          <w:rtl w:val="0"/>
        </w:rPr>
        <w:t xml:space="preserve">Hệ thống Thông điệp truyền thông (Slogan)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Để đi kèm với câu chuyện trên, bạn có thể chọn một trong các câu Slogan ngắn gọn, đánh trực diện vào tâm lý khách hàng: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MS: Mind &amp; Solid – Khởi tạo bằng Trí, Bền vững bằng Tâm.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numPr>
          <w:ilvl w:val="0"/>
          <w:numId w:val="1"/>
        </w:numPr>
        <w:ind w:left="720" w:hanging="360"/>
        <w:jc w:val="center"/>
        <w:rPr/>
      </w:pPr>
      <w:bookmarkStart w:colFirst="0" w:colLast="0" w:name="_i3c1e17iz2ll" w:id="1"/>
      <w:bookmarkEnd w:id="1"/>
      <w:r w:rsidDel="00000000" w:rsidR="00000000" w:rsidRPr="00000000">
        <w:rPr>
          <w:rtl w:val="0"/>
        </w:rPr>
        <w:t xml:space="preserve">Giá trị cốt lõi mang lại cho khách hàng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Thiết kế thực tế (Practical Design): Bản vẽ đẹp là bản vẽ phải thi công được và nằm trong ngân sách cho phép của chủ đầu tư.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Minh bạch vật tư (Material Transparency): Cam kết đền bù 100% nếu phát hiện sai lệch thương hiệu vật tư đã ký kết.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Bảo hành chủ động (Proactive Maintenance): Không đợi khách hàng gọi mới sửa, MS có lịch kiểm tra định kỳ để đảm bảo "Sự an tâm" kéo dài cả sau khi bàn giao.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