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pPr>
      <w:r>
        <w:rPr/>
        <w:t>Enneagram Biochemical Signature Theory</w:t>
      </w:r>
    </w:p>
    <w:p>
      <w:pPr>
        <w:pStyle w:val="Subtitle"/>
      </w:pPr>
      <w:r>
        <w:rPr/>
        <w:t>A Neurobiological Investigation of Enneagram Structure</w:t>
      </w:r>
    </w:p>
    <w:p>
      <w:pPr>
        <w:pStyle w:val="Subtitle"/>
      </w:pPr>
      <w:r>
        <w:rPr>
          <w:color w:val="888888"/>
        </w:rPr>
        <w:t>Working Document — Version 12</w:t>
      </w:r>
    </w:p>
    <w:p>
      <w:pPr>
        <w:pStyle w:val="Heading1"/>
      </w:pPr>
      <w:r>
        <w:rPr/>
        <w:t>Abstract</w:t>
      </w:r>
    </w:p>
    <w:p>
      <w:pPr>
        <w:pStyle w:val="BodyText"/>
      </w:pPr>
      <w:r>
        <w:rPr/>
        <w:t>The enneagram has mapped nine stable personality configurations from the outside — built from centuries of observation, practitioner consensus, and the cross-cultural recognizability of its patterns. This document asks a different question: when you press that map against the underlying neurobiology, does it find purchase? The framework uses the enneagram as a probe rather than a conclusion. Each major claim — the nine configurations, the stress directions, the security directions, the three-center architecture — is derived independently from biological principles and then checked against the enneagram’s map. The repeated finding is convergence. This is not evidence that the enneagram is right because biology says so. It is evidence that the enneagram was tracking something real — that the scaffolding erected from observation was following the fault lines of an underlying architecture it could not directly examine.</w:t>
      </w:r>
    </w:p>
    <w:p>
      <w:pPr>
        <w:pStyle w:val="BodyText"/>
      </w:pPr>
      <w:r>
        <w:rPr/>
        <w:t>The biological architecture proposed is this: personality types correspond to distinct neurochemical configurations — measurable states of the body’s three primary processing systems (gut, heart, head). Each type is defined by which center is dominant, which is suppressed, and which remains at baseline. These configurations are not imported from the enneagram but derived from two stability constraints: that sustained multi-system dominance is energetically costly, and that sustained dual active suppression exceeds available inhibitory resources. These constraints identify nine configurations as the most stable attractor states in neurochemical space — patterns the nervous system is drawn toward and can sustain over time without pathological cost. The number nine emerges from the mathematics of these constraints, not from the enneagram.</w:t>
      </w:r>
    </w:p>
    <w:p>
      <w:pPr>
        <w:pStyle w:val="BodyText"/>
      </w:pPr>
      <w:r>
        <w:rPr/>
        <w:t>The framework makes four novel contributions. First, it identifies a functional convergence between Cascade Theory’s three stress-response pillars (Teicher et al., 2002) and the enneagram’s three Centers of Intelligence — a connection unreported in prior literature. Second, it demonstrates that the enneagram’s complete stress point system is derivable from neurochemical configuration collapse logic without importing those stress points as inputs, achieving a nine-for-nine correspondence. Third, it proposes that the suddenness of behavioral collapse under stress is a predictable neurochemical signature, not a personality trait. Fourth, it derives security point directions for all nine types using the inverse collapse mechanism, achieving nine-for-nine correspondence with the established enneagram security point system.</w:t>
      </w:r>
    </w:p>
    <w:p>
      <w:pPr>
        <w:pStyle w:val="BodyText"/>
      </w:pPr>
      <w:r>
        <w:rPr/>
        <w:t>Version 12 addresses five scientific precision issues identified in expert review. (1) The Gut Center activation pole has been corrected from peripheral adrenaline to the Locus Coeruleus-Norepinephrine (LC-NE) phasic system — the correct central brainstem substrate for gut-center behavioral urgency. (2) The Head Center poles have been reframed from a dopamine/NE opposition to an Exploration/Exploitation computational model, with acetylcholine formally integrated into the exploitation/monitoring pole — resolving the Type 5 architectural exception. (3) The hypothalamic bottleneck argument has been replaced with an attractor state framing: the nine configurations are the most metabolically stable attractor positions in neurochemical space, not the only configurations a brain can produce. (4) Cloninger’s TCI has been reframed from a primary mechanistic pillar to a bounded psychometric tool, with the RDoC framework introduced as the current standard for translating EBST’s claims into contemporary psychiatric research methodology. (5) The neurochemical antagonisms table has been updated throughout to reflect these corrections.</w:t>
      </w:r>
    </w:p>
    <w:p>
      <w:pPr>
        <w:pStyle w:val="BodyText"/>
      </w:pPr>
      <w:r>
        <w:rPr/>
        <w:t>This is an explicitly speculative and integrative framework. No empirical studies directly linking enneagram types to neurochemical profiles have been conducted. The document is intended as a theoretical foundation for future research design, interdisciplinary dialogue, and audience-specific communication. Section 17 provides a full falsifiability conditions register and biological assertions registry to enable rigorous peer engagement.</w:t>
      </w:r>
    </w:p>
    <w:p>
      <w:pPr>
        <w:pStyle w:val="Heading1"/>
      </w:pPr>
      <w:r>
        <w:rPr/>
        <w:t>1. Foundational Hypothesis</w:t>
      </w:r>
    </w:p>
    <w:p>
      <w:pPr>
        <w:pStyle w:val="BodyText"/>
      </w:pPr>
      <w:r>
        <w:rPr/>
        <w:t>The core proposition is that enneagram personality types are not purely psychological constructs — they are measurable biochemical states. Each type corresponds to a distinct neurochemical signature defined by the production and breakdown ratios of key neurotransmitters and hormones across three primary biological systems.</w:t>
      </w:r>
    </w:p>
    <w:p>
      <w:pPr>
        <w:pStyle w:val="BodyText"/>
      </w:pPr>
      <w:r>
        <w:rPr/>
        <w:t>This hypothesis rests on three premises:</w:t>
      </w:r>
    </w:p>
    <w:p>
      <w:pPr>
        <w:pStyle w:val="ListBullet"/>
        <w:numPr>
          <w:ilvl w:val="0"/>
          <w:numId w:val="1"/>
        </w:numPr>
      </w:pPr>
      <w:r>
        <w:rPr/>
        <w:t>Personality patterns are shaped by early life experience, and those experiences alter the nervous system’s baseline neurochemical balance through measurable allostatic recalibration.</w:t>
      </w:r>
    </w:p>
    <w:p>
      <w:pPr>
        <w:pStyle w:val="ListBullet"/>
        <w:numPr>
          <w:ilvl w:val="0"/>
          <w:numId w:val="1"/>
        </w:numPr>
      </w:pPr>
      <w:r>
        <w:rPr/>
        <w:t>The enneagram types represent characteristic strategies for managing neurochemical charge — not abstract psychological preferences.</w:t>
      </w:r>
    </w:p>
    <w:p>
      <w:pPr>
        <w:pStyle w:val="ListBullet"/>
        <w:numPr>
          <w:ilvl w:val="0"/>
          <w:numId w:val="1"/>
        </w:numPr>
      </w:pPr>
      <w:r>
        <w:rPr/>
        <w:t>If the nervous system’s chemical environment predisposes a person toward certain patterns of perception and response, then type is, at its root, a somatic phenomenon.</w:t>
      </w:r>
    </w:p>
    <w:p>
      <w:pPr>
        <w:pStyle w:val="BodyText"/>
      </w:pPr>
      <w:r>
        <w:rPr/>
        <w:t>The framework treats type as a snapshot — a description of the current state of a person’s neurochemical architecture — which means it can shift as physiology changes over time. Early relational and developmental environments shape neurochemical baselines, and those baselines create the attractor states we recognize as enneagram types. Nature sets the available configurations; nurture, operating through allostatic embedding, determines which one a person inhabits.</w:t>
      </w:r>
    </w:p>
    <w:p>
      <w:pPr>
        <w:pStyle w:val="Heading1"/>
      </w:pPr>
      <w:r>
        <w:rPr/>
        <w:t>2. The Three-System Input Architecture</w:t>
      </w:r>
    </w:p>
    <w:p>
      <w:pPr>
        <w:pStyle w:val="BodyText"/>
      </w:pPr>
      <w:r>
        <w:rPr/>
        <w:t>The framework distinguishes three classes of input that drive the personality system at different timescales. These are not metaphorical categories — each maps to a distinct biological substrate with its own empirical literature.</w:t>
      </w:r>
    </w:p>
    <w:p>
      <w:pPr>
        <w:pStyle w:val="Heading2"/>
      </w:pPr>
      <w:r>
        <w:rPr/>
        <w:t>2.1 Nature Inputs: Baseline Neurobiological Configuration</w:t>
      </w:r>
    </w:p>
    <w:p>
      <w:pPr>
        <w:pStyle w:val="BodyText"/>
      </w:pPr>
      <w:r>
        <w:rPr/>
        <w:t>Nature inputs are the baseline parameters of the individual’s nervous system as established prior to significant environmental shaping. These include temperament dimensions that are measurable in infancy and demonstrate strong heritability. The scientific grounding is Rothbart’s temperament model, which identifies three broad dimensions with identified neural correlates:</w:t>
      </w:r>
    </w:p>
    <w:p>
      <w:pPr>
        <w:pStyle w:val="ListBullet"/>
        <w:numPr>
          <w:ilvl w:val="0"/>
          <w:numId w:val="1"/>
        </w:numPr>
        <w:spacing w:before="60" w:after="60" w:line="276" w:lineRule="auto"/>
      </w:pPr>
      <w:r>
        <w:rPr>
          <w:b/>
          <w:bCs/>
        </w:rPr>
        <w:t xml:space="preserve">Surgency/Extraversion: </w:t>
      </w:r>
      <w:r>
        <w:rPr/>
        <w:t>approach motivation, positive affect, activity level. Neurally associated with dopaminergic reward circuitry, particularly nucleus accumbens and ventral tegmental area projections.</w:t>
      </w:r>
    </w:p>
    <w:p>
      <w:pPr>
        <w:pStyle w:val="ListBullet"/>
        <w:numPr>
          <w:ilvl w:val="0"/>
          <w:numId w:val="1"/>
        </w:numPr>
        <w:spacing w:before="60" w:after="60" w:line="276" w:lineRule="auto"/>
      </w:pPr>
      <w:r>
        <w:rPr>
          <w:b/>
          <w:bCs/>
        </w:rPr>
        <w:t xml:space="preserve">Negative Affectivity: </w:t>
      </w:r>
      <w:r>
        <w:rPr/>
        <w:t>fear, frustration, discomfort. Associated with amygdala reactivity and HPA axis sensitivity.</w:t>
      </w:r>
    </w:p>
    <w:p>
      <w:pPr>
        <w:pStyle w:val="ListBullet"/>
        <w:numPr>
          <w:ilvl w:val="0"/>
          <w:numId w:val="1"/>
        </w:numPr>
        <w:spacing w:before="60" w:after="60" w:line="276" w:lineRule="auto"/>
      </w:pPr>
      <w:r>
        <w:rPr>
          <w:b/>
          <w:bCs/>
        </w:rPr>
        <w:t xml:space="preserve">Effortful Control: </w:t>
      </w:r>
      <w:r>
        <w:rPr/>
        <w:t>attentional regulation, inhibitory control. Associated with prefrontal cortical development and maturation of executive function networks.</w:t>
      </w:r>
    </w:p>
    <w:p>
      <w:pPr>
        <w:pStyle w:val="BodyText"/>
      </w:pPr>
      <w:r>
        <w:rPr/>
        <w:t>These dimensions are not merely descriptive — they predict longitudinal personality outcomes and have been linked to specific genetic polymorphisms affecting dopamine and serotonin receptor density. Rothbart’s work establishes that nature inputs are the individual’s starting configuration of these systems before developmental experience has substantially modified them.</w:t>
      </w:r>
    </w:p>
    <w:p>
      <w:pPr>
        <w:pStyle w:val="Citation"/>
      </w:pPr>
      <w:r>
        <w:rPr>
          <w:i/>
          <w:iCs/>
        </w:rPr>
        <w:t>Rothbart, M.K. (2011). Becoming Who We Are: Temperament and Personality in Development. Guilford Press.</w:t>
      </w:r>
    </w:p>
    <w:p>
      <w:pPr>
        <w:pStyle w:val="Citation"/>
      </w:pPr>
      <w:r>
        <w:rPr>
          <w:i/>
          <w:iCs/>
        </w:rPr>
        <w:t>Rothbart, M.K. &amp; Bates, J.E. (2006). Temperament. Handbook of Child Psychology, Vol. 3 (6th ed.). Wiley.</w:t>
      </w:r>
    </w:p>
    <w:p>
      <w:pPr>
        <w:pStyle w:val="Heading2"/>
      </w:pPr>
      <w:r>
        <w:rPr/>
        <w:t>2.2 Long-Term Nurture Inputs: Allostatic Embedding</w:t>
      </w:r>
    </w:p>
    <w:p>
      <w:pPr>
        <w:pStyle w:val="BodyText"/>
      </w:pPr>
      <w:r>
        <w:rPr/>
        <w:t>Long-term nurture effects are not stored as memories or narratives. They are embedded in the system as modified set points — changes to the baseline levels at which neurochemical systems operate, the thresholds at which stress responses activate, and the sensitivity of regulatory circuits. The scientific mechanism is allostatic load, as developed by McEwen and Stellar.</w:t>
      </w:r>
    </w:p>
    <w:p>
      <w:pPr>
        <w:pStyle w:val="BodyText"/>
      </w:pPr>
      <w:r>
        <w:rPr/>
        <w:t>Allostasis is the process by which the body achieves stability through change — adjusting baseline parameters in response to repeated environmental demands. Allostatic load is the cumulative cost of those adjustments. When a child’s environment repeatedly activates threat-response systems, the HPA axis recalibrates toward a lower activation threshold and higher baseline cortisol. This is not a metaphor for being shaped by experience. It is a measurable physiological change with documented downstream effects on hippocampal volume, prefrontal regulation capacity, and amygdala reactivity.</w:t>
      </w:r>
    </w:p>
    <w:p>
      <w:pPr>
        <w:pStyle w:val="BodyText"/>
      </w:pPr>
      <w:r>
        <w:rPr/>
        <w:t>This is the scientific basis for the claim that developmental history is embedded in the system. It is embedded allostatically. The neurochemical architecture that defines type is not simply the result of genes or choices — it is the biological residue of every significant stress response the developing nervous system has mounted and recalibrated around. This mechanism connects Cascade Theory’s account of trauma-shaped stress-response pillars directly to the type patterns the enneagram describes.</w:t>
      </w:r>
    </w:p>
    <w:p>
      <w:pPr>
        <w:pStyle w:val="Citation"/>
      </w:pPr>
      <w:r>
        <w:rPr>
          <w:i/>
          <w:iCs/>
        </w:rPr>
        <w:t>McEwen, B.S. &amp; Stellar, E. (1993). Stress and the individual: Mechanisms leading to disease. Archives of Internal Medicine, 153(18), 2093-2101.</w:t>
      </w:r>
    </w:p>
    <w:p>
      <w:pPr>
        <w:pStyle w:val="Citation"/>
      </w:pPr>
      <w:r>
        <w:rPr>
          <w:i/>
          <w:iCs/>
        </w:rPr>
        <w:t>McEwen, B.S. (1998). Stress, adaptation, and disease: Allostasis and allostatic load. Annals of the New York Academy of Sciences, 840, 33-44.</w:t>
      </w:r>
    </w:p>
    <w:p>
      <w:pPr>
        <w:pStyle w:val="Heading2"/>
      </w:pPr>
      <w:r>
        <w:rPr/>
        <w:t>2.3 Present-Moment Inputs: Acute Stress and Appraisal</w:t>
      </w:r>
    </w:p>
    <w:p>
      <w:pPr>
        <w:pStyle w:val="BodyText"/>
      </w:pPr>
      <w:r>
        <w:rPr/>
        <w:t>Present-moment inputs are acute environmental events that interface with the system in real time. Their effect is mediated by cognitive appraisal — not the event itself but the nervous system’s rapid evaluation of its significance. The primary scientific framework is Lazarus’s transactional model of stress and coping, which established that the same objective event produces different physiological responses depending on primary appraisal (is this relevant or threatening?) and secondary appraisal (do I have resources to cope?).</w:t>
      </w:r>
    </w:p>
    <w:p>
      <w:pPr>
        <w:pStyle w:val="BodyText"/>
      </w:pPr>
      <w:r>
        <w:rPr/>
        <w:t>Appraisal is not a conscious deliberate process. It occurs rapidly and is heavily influenced by prior allostatic calibration — which is why developmental history directly shapes how acute events are processed. A nervous system calibrated toward high threat sensitivity will appraise ambiguous events as threatening more readily than one calibrated toward lower baseline arousal. Section 2.2 and Section 2.3 are therefore causally linked: the long-term embedding of Section 2.2 is precisely what determines the sensitivity of the appraisal filters in Section 2.3.</w:t>
      </w:r>
    </w:p>
    <w:p>
      <w:pPr>
        <w:pStyle w:val="Citation"/>
      </w:pPr>
      <w:r>
        <w:rPr>
          <w:i/>
          <w:iCs/>
        </w:rPr>
        <w:t>Lazarus, R.S. &amp; Folkman, S. (1984). Stress, Appraisal, and Coping. Springer.</w:t>
      </w:r>
    </w:p>
    <w:p>
      <w:pPr>
        <w:pStyle w:val="Heading1"/>
      </w:pPr>
      <w:r>
        <w:rPr/>
        <w:t>3. The Enneagram Framework: Structures This Model Builds On</w:t>
      </w:r>
    </w:p>
    <w:p>
      <w:pPr>
        <w:pStyle w:val="BodyText"/>
      </w:pPr>
      <w:r>
        <w:rPr/>
        <w:t>This section establishes the existing enneagram structures that the neurochemical framework maps onto. It is orientation material, not novel contribution. Readers familiar with the enneagram may proceed to Section 4.</w:t>
      </w:r>
    </w:p>
    <w:p>
      <w:pPr>
        <w:pStyle w:val="Heading2"/>
      </w:pPr>
      <w:r>
        <w:rPr/>
        <w:t>3.1 Centers of Intelligence</w:t>
      </w:r>
    </w:p>
    <w:p>
      <w:pPr>
        <w:pStyle w:val="BodyText"/>
        <w:spacing w:before="0" w:after="80"/>
      </w:pPr>
      <w:r>
        <w:rPr/>
        <w:t/>
      </w:r>
    </w:p>
    <w:tbl>
      <w:tblPr>
        <w:tblW w:w="9360" w:type="dxa"/>
        <w:tblLayout w:type="fixed"/>
      </w:tblPr>
      <w:tr>
        <w:tc>
          <w:tcPr>
            <w:tcW w:w="2000" w:type="dxa"/>
            <w:shd w:val="clear" w:color="auto" w:fill="2E5090"/>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color w:val="FFFFFF"/>
                <w:sz w:val="18"/>
                <w:szCs w:val="18"/>
              </w:rPr>
              <w:t>Center</w:t>
            </w:r>
          </w:p>
        </w:tc>
        <w:tc>
          <w:tcPr>
            <w:tcW w:w="1200" w:type="dxa"/>
            <w:shd w:val="clear" w:color="auto" w:fill="2E5090"/>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color w:val="FFFFFF"/>
                <w:sz w:val="18"/>
                <w:szCs w:val="18"/>
              </w:rPr>
              <w:t>Types</w:t>
            </w:r>
          </w:p>
        </w:tc>
        <w:tc>
          <w:tcPr>
            <w:tcW w:w="1400" w:type="dxa"/>
            <w:shd w:val="clear" w:color="auto" w:fill="2E5090"/>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color w:val="FFFFFF"/>
                <w:sz w:val="18"/>
                <w:szCs w:val="18"/>
              </w:rPr>
              <w:t>Core Emotion</w:t>
            </w:r>
          </w:p>
        </w:tc>
        <w:tc>
          <w:tcPr>
            <w:tcW w:w="4760" w:type="dxa"/>
            <w:shd w:val="clear" w:color="auto" w:fill="2E5090"/>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color w:val="FFFFFF"/>
                <w:sz w:val="18"/>
                <w:szCs w:val="18"/>
              </w:rPr>
              <w:t>Primary Orientation</w:t>
            </w:r>
          </w:p>
        </w:tc>
      </w:tr>
      <w:tr>
        <w:tc>
          <w:tcPr>
            <w:tcW w:w="20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Gut (Body)</w:t>
            </w:r>
          </w:p>
        </w:tc>
        <w:tc>
          <w:tcPr>
            <w:tcW w:w="12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8, 9, 1</w:t>
            </w:r>
          </w:p>
        </w:tc>
        <w:tc>
          <w:tcPr>
            <w:tcW w:w="14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Anger</w:t>
            </w:r>
          </w:p>
        </w:tc>
        <w:tc>
          <w:tcPr>
            <w:tcW w:w="47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Autonomy, boundaries, physical presence</w:t>
            </w:r>
          </w:p>
        </w:tc>
      </w:tr>
      <w:tr>
        <w:tc>
          <w:tcPr>
            <w:tcW w:w="20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Heart (Feeling)</w:t>
            </w:r>
          </w:p>
        </w:tc>
        <w:tc>
          <w:tcPr>
            <w:tcW w:w="12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2, 3, 4</w:t>
            </w:r>
          </w:p>
        </w:tc>
        <w:tc>
          <w:tcPr>
            <w:tcW w:w="14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Shame</w:t>
            </w:r>
          </w:p>
        </w:tc>
        <w:tc>
          <w:tcPr>
            <w:tcW w:w="47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Image, identity, connection</w:t>
            </w:r>
          </w:p>
        </w:tc>
      </w:tr>
      <w:tr>
        <w:tc>
          <w:tcPr>
            <w:tcW w:w="20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Head (Thinking)</w:t>
            </w:r>
          </w:p>
        </w:tc>
        <w:tc>
          <w:tcPr>
            <w:tcW w:w="12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5, 6, 7</w:t>
            </w:r>
          </w:p>
        </w:tc>
        <w:tc>
          <w:tcPr>
            <w:tcW w:w="14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Fear / Anxiety</w:t>
            </w:r>
          </w:p>
        </w:tc>
        <w:tc>
          <w:tcPr>
            <w:tcW w:w="47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Security, understanding, planning</w:t>
            </w:r>
          </w:p>
        </w:tc>
      </w:tr>
    </w:tbl>
    <w:p>
      <w:pPr>
        <w:pStyle w:val="BodyText"/>
        <w:spacing w:before="0" w:after="80"/>
      </w:pPr>
      <w:r>
        <w:rPr/>
        <w:t/>
      </w:r>
    </w:p>
    <w:p>
      <w:pPr>
        <w:pStyle w:val="BodyText"/>
      </w:pPr>
      <w:r>
        <w:rPr/>
        <w:t>The three Centers of Intelligence — Gut, Heart, and Head — are the primary structural unit of the enneagram. Each center governs a characteristic domain of experience and is home to three enneagram types. This framework maps one neurochemical spectrum onto each center. Of the four triadic groupings, Centers of Intelligence maps most directly to established neuroscience, corresponding to interoceptive-somatic, limbic-affective, and prefrontal-cognitive processing systems respectively.</w:t>
      </w:r>
    </w:p>
    <w:p>
      <w:pPr>
        <w:pStyle w:val="Heading2"/>
      </w:pPr>
      <w:r>
        <w:rPr/>
        <w:t>3.2 Harmonic Groups</w:t>
      </w:r>
    </w:p>
    <w:p>
      <w:pPr>
        <w:pStyle w:val="BodyText"/>
        <w:spacing w:before="0" w:after="80"/>
      </w:pPr>
      <w:r>
        <w:rPr/>
        <w:t/>
      </w:r>
    </w:p>
    <w:tbl>
      <w:tblPr>
        <w:tblW w:w="9360" w:type="dxa"/>
        <w:tblLayout w:type="fixed"/>
      </w:tblPr>
      <w:tr>
        <w:tc>
          <w:tcPr>
            <w:tcW w:w="2000" w:type="dxa"/>
            <w:shd w:val="clear" w:color="auto" w:fill="2E5090"/>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color w:val="FFFFFF"/>
                <w:sz w:val="18"/>
                <w:szCs w:val="18"/>
              </w:rPr>
              <w:t>Group</w:t>
            </w:r>
          </w:p>
        </w:tc>
        <w:tc>
          <w:tcPr>
            <w:tcW w:w="1200" w:type="dxa"/>
            <w:shd w:val="clear" w:color="auto" w:fill="2E5090"/>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color w:val="FFFFFF"/>
                <w:sz w:val="18"/>
                <w:szCs w:val="18"/>
              </w:rPr>
              <w:t>Types</w:t>
            </w:r>
          </w:p>
        </w:tc>
        <w:tc>
          <w:tcPr>
            <w:tcW w:w="6160" w:type="dxa"/>
            <w:shd w:val="clear" w:color="auto" w:fill="2E5090"/>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color w:val="FFFFFF"/>
                <w:sz w:val="18"/>
                <w:szCs w:val="18"/>
              </w:rPr>
              <w:t>Coping Strategy</w:t>
            </w:r>
          </w:p>
        </w:tc>
      </w:tr>
      <w:tr>
        <w:tc>
          <w:tcPr>
            <w:tcW w:w="20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Competency</w:t>
            </w:r>
          </w:p>
        </w:tc>
        <w:tc>
          <w:tcPr>
            <w:tcW w:w="12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1, 3, 5</w:t>
            </w:r>
          </w:p>
        </w:tc>
        <w:tc>
          <w:tcPr>
            <w:tcW w:w="61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Solve problems objectively; set aside personal feelings to follow systems</w:t>
            </w:r>
          </w:p>
        </w:tc>
      </w:tr>
      <w:tr>
        <w:tc>
          <w:tcPr>
            <w:tcW w:w="20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Reactive</w:t>
            </w:r>
          </w:p>
        </w:tc>
        <w:tc>
          <w:tcPr>
            <w:tcW w:w="12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4, 6, 8</w:t>
            </w:r>
          </w:p>
        </w:tc>
        <w:tc>
          <w:tcPr>
            <w:tcW w:w="61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React emotionally; want others to match their intensity; trust authentic feeling</w:t>
            </w:r>
          </w:p>
        </w:tc>
      </w:tr>
      <w:tr>
        <w:tc>
          <w:tcPr>
            <w:tcW w:w="20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Positive Outlook</w:t>
            </w:r>
          </w:p>
        </w:tc>
        <w:tc>
          <w:tcPr>
            <w:tcW w:w="12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2, 7, 9</w:t>
            </w:r>
          </w:p>
        </w:tc>
        <w:tc>
          <w:tcPr>
            <w:tcW w:w="61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Avoid or reframe conflict; maintain positive emotional environment</w:t>
            </w:r>
          </w:p>
        </w:tc>
      </w:tr>
    </w:tbl>
    <w:p>
      <w:pPr>
        <w:pStyle w:val="BodyText"/>
        <w:spacing w:before="0" w:after="80"/>
      </w:pPr>
      <w:r>
        <w:rPr/>
        <w:t/>
      </w:r>
    </w:p>
    <w:p>
      <w:pPr>
        <w:pStyle w:val="BodyText"/>
      </w:pPr>
      <w:r>
        <w:rPr/>
        <w:t>The Harmonic Groups describe how each type copes with conflict and unmet needs. In this framework, Harmonic coping style is a downstream behavioral signature of the underlying neurochemical configuration, not a separate axis. Empirical grounding for this grouping is theoretically motivated but has not been independently validated; it should be treated as a hypothesis.</w:t>
      </w:r>
    </w:p>
    <w:p>
      <w:pPr>
        <w:pStyle w:val="Heading2"/>
      </w:pPr>
      <w:r>
        <w:rPr/>
        <w:t>3.3 Hornevian Groups</w:t>
      </w:r>
    </w:p>
    <w:p>
      <w:pPr>
        <w:pStyle w:val="BodyText"/>
        <w:spacing w:before="0" w:after="80"/>
      </w:pPr>
      <w:r>
        <w:rPr/>
        <w:t/>
      </w:r>
    </w:p>
    <w:tbl>
      <w:tblPr>
        <w:tblW w:w="9360" w:type="dxa"/>
        <w:tblLayout w:type="fixed"/>
      </w:tblPr>
      <w:tr>
        <w:tc>
          <w:tcPr>
            <w:tcW w:w="2000" w:type="dxa"/>
            <w:shd w:val="clear" w:color="auto" w:fill="2E5090"/>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color w:val="FFFFFF"/>
                <w:sz w:val="18"/>
                <w:szCs w:val="18"/>
              </w:rPr>
              <w:t>Group</w:t>
            </w:r>
          </w:p>
        </w:tc>
        <w:tc>
          <w:tcPr>
            <w:tcW w:w="1200" w:type="dxa"/>
            <w:shd w:val="clear" w:color="auto" w:fill="2E5090"/>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color w:val="FFFFFF"/>
                <w:sz w:val="18"/>
                <w:szCs w:val="18"/>
              </w:rPr>
              <w:t>Types</w:t>
            </w:r>
          </w:p>
        </w:tc>
        <w:tc>
          <w:tcPr>
            <w:tcW w:w="2200" w:type="dxa"/>
            <w:shd w:val="clear" w:color="auto" w:fill="2E5090"/>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color w:val="FFFFFF"/>
                <w:sz w:val="18"/>
                <w:szCs w:val="18"/>
              </w:rPr>
              <w:t>Social Movement</w:t>
            </w:r>
          </w:p>
        </w:tc>
        <w:tc>
          <w:tcPr>
            <w:tcW w:w="3960" w:type="dxa"/>
            <w:shd w:val="clear" w:color="auto" w:fill="2E5090"/>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color w:val="FFFFFF"/>
                <w:sz w:val="18"/>
                <w:szCs w:val="18"/>
              </w:rPr>
              <w:t>Behavioral Pattern</w:t>
            </w:r>
          </w:p>
        </w:tc>
      </w:tr>
      <w:tr>
        <w:tc>
          <w:tcPr>
            <w:tcW w:w="20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Assertive</w:t>
            </w:r>
          </w:p>
        </w:tc>
        <w:tc>
          <w:tcPr>
            <w:tcW w:w="12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3, 7, 8</w:t>
            </w:r>
          </w:p>
        </w:tc>
        <w:tc>
          <w:tcPr>
            <w:tcW w:w="22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Move against people</w:t>
            </w:r>
          </w:p>
        </w:tc>
        <w:tc>
          <w:tcPr>
            <w:tcW w:w="39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High-energy, goal-oriented, pursue wants directly</w:t>
            </w:r>
          </w:p>
        </w:tc>
      </w:tr>
      <w:tr>
        <w:tc>
          <w:tcPr>
            <w:tcW w:w="20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Withdrawn</w:t>
            </w:r>
          </w:p>
        </w:tc>
        <w:tc>
          <w:tcPr>
            <w:tcW w:w="12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4, 5, 9</w:t>
            </w:r>
          </w:p>
        </w:tc>
        <w:tc>
          <w:tcPr>
            <w:tcW w:w="22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Move away from people</w:t>
            </w:r>
          </w:p>
        </w:tc>
        <w:tc>
          <w:tcPr>
            <w:tcW w:w="39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Protect energy, process internally, need solitude</w:t>
            </w:r>
          </w:p>
        </w:tc>
      </w:tr>
      <w:tr>
        <w:tc>
          <w:tcPr>
            <w:tcW w:w="20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Compliant</w:t>
            </w:r>
          </w:p>
        </w:tc>
        <w:tc>
          <w:tcPr>
            <w:tcW w:w="12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1, 2, 6</w:t>
            </w:r>
          </w:p>
        </w:tc>
        <w:tc>
          <w:tcPr>
            <w:tcW w:w="22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Move toward people</w:t>
            </w:r>
          </w:p>
        </w:tc>
        <w:tc>
          <w:tcPr>
            <w:tcW w:w="39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Follow rules, be of service, do the right thing</w:t>
            </w:r>
          </w:p>
        </w:tc>
      </w:tr>
    </w:tbl>
    <w:p>
      <w:pPr>
        <w:pStyle w:val="BodyText"/>
        <w:spacing w:before="0" w:after="80"/>
      </w:pPr>
      <w:r>
        <w:rPr/>
        <w:t/>
      </w:r>
    </w:p>
    <w:p>
      <w:pPr>
        <w:pStyle w:val="BodyText"/>
      </w:pPr>
      <w:r>
        <w:rPr/>
        <w:t>The Hornevian Groups describe characteristic social movement patterns. This social movement reflects the directional bias of the dominant center’s activation pole. Like the Harmonic grouping, the Hornevian grouping is theoretically motivated but should be treated as a hypothesis requiring empirical validation.</w:t>
      </w:r>
    </w:p>
    <w:p>
      <w:pPr>
        <w:pStyle w:val="Heading2"/>
      </w:pPr>
      <w:r>
        <w:rPr/>
        <w:t>3.4 Object Relations</w:t>
      </w:r>
    </w:p>
    <w:p>
      <w:pPr>
        <w:pStyle w:val="BodyText"/>
        <w:spacing w:before="0" w:after="80"/>
      </w:pPr>
      <w:r>
        <w:rPr/>
        <w:t/>
      </w:r>
    </w:p>
    <w:tbl>
      <w:tblPr>
        <w:tblW w:w="9360" w:type="dxa"/>
        <w:tblLayout w:type="fixed"/>
      </w:tblPr>
      <w:tr>
        <w:tc>
          <w:tcPr>
            <w:tcW w:w="2000" w:type="dxa"/>
            <w:shd w:val="clear" w:color="auto" w:fill="2E5090"/>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color w:val="FFFFFF"/>
                <w:sz w:val="18"/>
                <w:szCs w:val="18"/>
              </w:rPr>
              <w:t>Group</w:t>
            </w:r>
          </w:p>
        </w:tc>
        <w:tc>
          <w:tcPr>
            <w:tcW w:w="1200" w:type="dxa"/>
            <w:shd w:val="clear" w:color="auto" w:fill="2E5090"/>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color w:val="FFFFFF"/>
                <w:sz w:val="18"/>
                <w:szCs w:val="18"/>
              </w:rPr>
              <w:t>Types</w:t>
            </w:r>
          </w:p>
        </w:tc>
        <w:tc>
          <w:tcPr>
            <w:tcW w:w="6160" w:type="dxa"/>
            <w:shd w:val="clear" w:color="auto" w:fill="2E5090"/>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color w:val="FFFFFF"/>
                <w:sz w:val="18"/>
                <w:szCs w:val="18"/>
              </w:rPr>
              <w:t>Coordination Pattern</w:t>
            </w:r>
          </w:p>
        </w:tc>
      </w:tr>
      <w:tr>
        <w:tc>
          <w:tcPr>
            <w:tcW w:w="20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Attachment</w:t>
            </w:r>
          </w:p>
        </w:tc>
        <w:tc>
          <w:tcPr>
            <w:tcW w:w="12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3, 6, 9</w:t>
            </w:r>
          </w:p>
        </w:tc>
        <w:tc>
          <w:tcPr>
            <w:tcW w:w="61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Systems adapt proportionally together — gut, heart, and head shift in sync with the environment</w:t>
            </w:r>
          </w:p>
        </w:tc>
      </w:tr>
      <w:tr>
        <w:tc>
          <w:tcPr>
            <w:tcW w:w="20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Frustration</w:t>
            </w:r>
          </w:p>
        </w:tc>
        <w:tc>
          <w:tcPr>
            <w:tcW w:w="12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1, 4, 7</w:t>
            </w:r>
          </w:p>
        </w:tc>
        <w:tc>
          <w:tcPr>
            <w:tcW w:w="61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Systems pull in different directions — persistent gap between what different systems signal</w:t>
            </w:r>
          </w:p>
        </w:tc>
      </w:tr>
      <w:tr>
        <w:tc>
          <w:tcPr>
            <w:tcW w:w="20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Rejection</w:t>
            </w:r>
          </w:p>
        </w:tc>
        <w:tc>
          <w:tcPr>
            <w:tcW w:w="12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2, 5, 8</w:t>
            </w:r>
          </w:p>
        </w:tc>
        <w:tc>
          <w:tcPr>
            <w:tcW w:w="61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One or more systems are defensively isolated or suppressed to protect the whole</w:t>
            </w:r>
          </w:p>
        </w:tc>
      </w:tr>
    </w:tbl>
    <w:p>
      <w:pPr>
        <w:pStyle w:val="BodyText"/>
        <w:spacing w:before="0" w:after="80"/>
      </w:pPr>
      <w:r>
        <w:rPr/>
        <w:t/>
      </w:r>
    </w:p>
    <w:p>
      <w:pPr>
        <w:pStyle w:val="BodyText"/>
      </w:pPr>
      <w:r>
        <w:rPr/>
        <w:t>Object Relations was added by Riso and Hudson as a later development to the classical three-triad system. Its structural separation from the original triads is consistent with its reconceptualization in this framework as a meta-layer rather than a parallel axis — see Section 5. Object Relations has strong grounding in attachment theory and internal working models (Bowlby, Ainsworth), making it the best-supported of the four triadic groupings beyond the Centers of Intelligence.</w:t>
      </w:r>
    </w:p>
    <w:p>
      <w:pPr>
        <w:pStyle w:val="Heading2"/>
      </w:pPr>
      <w:r>
        <w:rPr/>
        <w:t>3.5 The Relationship Between This Framework and the Enneagram</w:t>
      </w:r>
    </w:p>
    <w:p>
      <w:pPr>
        <w:pStyle w:val="BodyText"/>
      </w:pPr>
      <w:r>
        <w:rPr/>
        <w:t>The methodological relationship between this framework and the enneagram requires precise statement, because it is easy to misread and the misreading changes what the paper is claiming.</w:t>
      </w:r>
    </w:p>
    <w:p>
      <w:pPr>
        <w:pStyle w:val="BodyText"/>
      </w:pPr>
      <w:r>
        <w:rPr/>
        <w:t>This framework is not an attempt to validate the enneagram, nor to replace it, nor to provide a biological foundation that the enneagram requires in order to be taken seriously. The enneagram’s descriptive validity rests on what it has always rested on: centuries of cross-cultural observation, practitioner consensus, and the recognizability of its nine patterns to anyone who has spent time with them. That standing is independent of anything in this document.</w:t>
      </w:r>
    </w:p>
    <w:p>
      <w:pPr>
        <w:pStyle w:val="BodyText"/>
      </w:pPr>
      <w:r>
        <w:rPr/>
        <w:t>What this framework does is use the enneagram as a probe. The enneagram has mapped a territory — nine stable personality configurations, their characteristic behaviors, the directions they move under pressure, the directions they move under safety, the groupings that emerge when you sort them by coping style or social movement or relational coordination. That map was built from observation, not from biology. The question this framework asks is: when you press that map against the underlying neurobiology, does it find purchase? Do the joints land on real things? Do the seams follow actual fault lines in the architecture beneath?</w:t>
      </w:r>
    </w:p>
    <w:p>
      <w:pPr>
        <w:pStyle w:val="BodyText"/>
      </w:pPr>
      <w:r>
        <w:rPr/>
        <w:t>The answer the framework keeps finding is yes. The nine configurations emerge independently from biological stability constraints. The stress directions derive independently from neurochemical collapse logic. The security directions derive independently from the inverse mechanism. Cascade Theory’s three pillars land on the same three centers the enneagram identified from phenomenology alone. In each case the procedure is the same: derive a prediction from biology without importing the enneagram’s answer, then check whether the two converge. They do.</w:t>
      </w:r>
    </w:p>
    <w:p>
      <w:pPr>
        <w:pStyle w:val="BodyText"/>
      </w:pPr>
      <w:r>
        <w:rPr/>
        <w:t>This is what the scaffolding metaphor captures precisely. The enneagram is the scaffolding — a structure built from the outside, from observation, designed to track the shape of something that couldn’t be directly examined. This framework is an attempt to describe the building the scaffolding was erected around. The question being asked is not whether the scaffolding is beautiful or well-constructed. It is whether the scaffolding was tracking something real. The evidence so far suggests it was.</w:t>
      </w:r>
    </w:p>
    <w:p>
      <w:pPr>
        <w:pStyle w:val="BodyText"/>
      </w:pPr>
      <w:r>
        <w:rPr/>
        <w:t>The clinical implication follows directly. A confident understanding of someone’s enneagram type, under this framework, becomes a probabilistic prior about their neurochemical architecture — which center is dominant, which is suppressed, what their stress threshold looks like, what intervention level is most likely to produce durable change. The enneagram provides the map. This framework provides the reason to trust it.</w:t>
      </w:r>
    </w:p>
    <w:p>
      <w:pPr>
        <w:pStyle w:val="Heading1"/>
      </w:pPr>
      <w:r>
        <w:rPr/>
        <w:t>4. Neurochemical Poles of the Three Centers</w:t>
      </w:r>
    </w:p>
    <w:p>
      <w:pPr>
        <w:pStyle w:val="BodyText"/>
      </w:pPr>
      <w:r>
        <w:rPr/>
        <w:t>Each Center of Intelligence operates on a spectrum between two neurochemical poles. Dysregulation occurs when the ratio between poles breaks down — when one system floods or collapses without the balancing response of its counterpart.</w:t>
      </w:r>
    </w:p>
    <w:p>
      <w:pPr>
        <w:pStyle w:val="Heading2"/>
      </w:pPr>
      <w:r>
        <w:rPr/>
        <w:t>4.1 The Three Neurochemical Spectrums</w:t>
      </w:r>
    </w:p>
    <w:p>
      <w:pPr>
        <w:pStyle w:val="BodyText"/>
        <w:spacing w:before="0" w:after="80"/>
      </w:pPr>
      <w:r>
        <w:rPr/>
        <w:t/>
      </w:r>
    </w:p>
    <w:tbl>
      <w:tblPr>
        <w:tblW w:w="9360" w:type="dxa"/>
        <w:tblLayout w:type="fixed"/>
      </w:tblPr>
      <w:tr>
        <w:tc>
          <w:tcPr>
            <w:tcW w:w="1800" w:type="dxa"/>
            <w:shd w:val="clear" w:color="auto" w:fill="2E5090"/>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color w:val="FFFFFF"/>
                <w:sz w:val="18"/>
                <w:szCs w:val="18"/>
              </w:rPr>
              <w:t>Center</w:t>
            </w:r>
          </w:p>
        </w:tc>
        <w:tc>
          <w:tcPr>
            <w:tcW w:w="3780" w:type="dxa"/>
            <w:shd w:val="clear" w:color="auto" w:fill="2E5090"/>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color w:val="FFFFFF"/>
                <w:sz w:val="18"/>
                <w:szCs w:val="18"/>
              </w:rPr>
              <w:t>Activation Pole</w:t>
            </w:r>
          </w:p>
        </w:tc>
        <w:tc>
          <w:tcPr>
            <w:tcW w:w="3780" w:type="dxa"/>
            <w:shd w:val="clear" w:color="auto" w:fill="2E5090"/>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color w:val="FFFFFF"/>
                <w:sz w:val="18"/>
                <w:szCs w:val="18"/>
              </w:rPr>
              <w:t>Containment Pole</w:t>
            </w:r>
          </w:p>
        </w:tc>
      </w:tr>
      <w:tr>
        <w:tc>
          <w:tcPr>
            <w:tcW w:w="18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Gut Center (8, 9, 1)</w:t>
            </w:r>
          </w:p>
        </w:tc>
        <w:tc>
          <w:tcPr>
            <w:tcW w:w="378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LC-Norepinephrine (phasic): Arousal, Urgency, Mobilization. Phasic firing of the Locus Coeruleus drives gut-center behavioral impulses — arousal, urgency, boundary assertion, and mobilization for action. This is a central brainstem system, not the peripheral adrenaline response.</w:t>
            </w:r>
          </w:p>
        </w:tc>
        <w:tc>
          <w:tcPr>
            <w:tcW w:w="378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GABA, Parasympathetic tone, Vagal activation. Suppression, calming, return to baseline. GABAergic gating of LC-NE phasic activation. Documented functional antagonism through sympathetic-parasympathetic reciprocal inhibition (Jänig, 2008). Vagal tone (Porges, 2011) provides the primary containment mechanism.</w:t>
            </w:r>
          </w:p>
        </w:tc>
      </w:tr>
      <w:tr>
        <w:tc>
          <w:tcPr>
            <w:tcW w:w="18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Heart Center (2, 3, 4)</w:t>
            </w:r>
          </w:p>
        </w:tc>
        <w:tc>
          <w:tcPr>
            <w:tcW w:w="378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Oxytocin. Merger, bonding, belonging, being needed. Primary driver of affiliative social behavior, trust, and relational fusion.</w:t>
            </w:r>
          </w:p>
        </w:tc>
        <w:tc>
          <w:tcPr>
            <w:tcW w:w="378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Testosterone. Status, self-definition, competitive identity, bounded selfhood. Motivational incompatibility with oxytocin: the two hormones orient social motivation toward incompatible behavioral programs. See Section 4.3.</w:t>
            </w:r>
          </w:p>
        </w:tc>
      </w:tr>
      <w:tr>
        <w:tc>
          <w:tcPr>
            <w:tcW w:w="18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Head Center (5, 6, 7)</w:t>
            </w:r>
          </w:p>
        </w:tc>
        <w:tc>
          <w:tcPr>
            <w:tcW w:w="378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Dopamine: Exploration. Drives exploration — seeking novel ideas, future-modeling, reward anticipation, and approach motivation. Maps to RDoC 'Positive Valence: Reward Seeking' domain. (Type 7 expression.)</w:t>
            </w:r>
          </w:p>
        </w:tc>
        <w:tc>
          <w:tcPr>
            <w:tcW w:w="378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NE + Acetylcholine: Exploitation / Monitoring. Drives exploitation — monitoring the current environment, checking for threats, refining existing plans. Tonic LC-NE narrows attentional focus; ACh sharpens signal-to-noise discrimination. Type 6 expression emphasizes threat-monitoring; Type 5 emphasizes ACh-mediated focused processing. Note: dopamine and NE are not biochemical opposites in PFC — both must be in optimal range (Arnsten, 1998). The antagonism is between computational modes, not chemicals.</w:t>
            </w:r>
          </w:p>
        </w:tc>
      </w:tr>
    </w:tbl>
    <w:p>
      <w:pPr>
        <w:pStyle w:val="BodyText"/>
        <w:spacing w:before="0" w:after="80"/>
      </w:pPr>
      <w:r>
        <w:rPr/>
        <w:t/>
      </w:r>
    </w:p>
    <w:p>
      <w:pPr>
        <w:pStyle w:val="BodyText"/>
      </w:pPr>
      <w:r>
        <w:rPr/>
        <w:t>Type positions on each spectrum:</w:t>
      </w:r>
    </w:p>
    <w:p>
      <w:pPr>
        <w:pStyle w:val="ListBullet"/>
        <w:numPr>
          <w:ilvl w:val="0"/>
          <w:numId w:val="1"/>
        </w:numPr>
      </w:pPr>
      <w:r>
        <w:rPr/>
        <w:t>Gut: Type 8 leans toward LC-NE phasic activation (high urgency, outward force), Type 9 toward GABA/vagal containment (suppressed arousal), Type 1 regulates the tension through PFC-mediated top-down control of LC-NE output.</w:t>
      </w:r>
    </w:p>
    <w:p>
      <w:pPr>
        <w:pStyle w:val="ListBullet"/>
        <w:numPr>
          <w:ilvl w:val="0"/>
          <w:numId w:val="1"/>
        </w:numPr>
      </w:pPr>
      <w:r>
        <w:rPr/>
        <w:t>Heart: Type 2 leans toward the oxytocin pole, Type 3 toward testosterone, Type 4 oscillates between them with high sensitivity to disruption.</w:t>
      </w:r>
    </w:p>
    <w:p>
      <w:pPr>
        <w:pStyle w:val="ListBullet"/>
        <w:numPr>
          <w:ilvl w:val="0"/>
          <w:numId w:val="1"/>
        </w:numPr>
      </w:pPr>
      <w:r>
        <w:rPr/>
        <w:t>Head: Type 7 leans toward dopamine-driven exploration, Type 6 toward NE-driven threat-monitoring (exploitation), Type 5 toward ACh-mediated focused exploitation with minimal approach drive — a specific expression of the exploitation pole, not an exception to the architecture.</w:t>
      </w:r>
    </w:p>
    <w:p>
      <w:pPr>
        <w:pStyle w:val="Heading2"/>
      </w:pPr>
      <w:r>
        <w:rPr/>
        <w:t>4.2 The LC-NE System: Two Functional Modes Across Two Centers</w:t>
      </w:r>
    </w:p>
    <w:p>
      <w:pPr>
        <w:pStyle w:val="BodyText"/>
      </w:pPr>
      <w:r>
        <w:rPr/>
        <w:t>The Locus Coeruleus-Norepinephrine (LC-NE) system appears in both the Gut Center and the Head Center, which requires explicit differentiation. This is not an inconsistency — it reflects established neuroscience showing that the LC-NE system operates in two distinct functional modes with different behavioral effects.</w:t>
      </w:r>
    </w:p>
    <w:p>
      <w:pPr>
        <w:pStyle w:val="BodyText"/>
        <w:spacing w:before="0" w:after="80"/>
      </w:pPr>
      <w:r>
        <w:rPr/>
        <w:t/>
      </w:r>
    </w:p>
    <w:tbl>
      <w:tblPr>
        <w:tblW w:w="9360" w:type="dxa"/>
        <w:tblLayout w:type="fixed"/>
      </w:tblPr>
      <w:tr>
        <w:tc>
          <w:tcPr>
            <w:tcW w:w="1800" w:type="dxa"/>
            <w:shd w:val="clear" w:color="auto" w:fill="2E5090"/>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color w:val="FFFFFF"/>
                <w:sz w:val="18"/>
                <w:szCs w:val="18"/>
              </w:rPr>
              <w:t>LC-NE Mode</w:t>
            </w:r>
          </w:p>
        </w:tc>
        <w:tc>
          <w:tcPr>
            <w:tcW w:w="2200" w:type="dxa"/>
            <w:shd w:val="clear" w:color="auto" w:fill="2E5090"/>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color w:val="FFFFFF"/>
                <w:sz w:val="18"/>
                <w:szCs w:val="18"/>
              </w:rPr>
              <w:t>Center</w:t>
            </w:r>
          </w:p>
        </w:tc>
        <w:tc>
          <w:tcPr>
            <w:tcW w:w="1800" w:type="dxa"/>
            <w:shd w:val="clear" w:color="auto" w:fill="2E5090"/>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color w:val="FFFFFF"/>
                <w:sz w:val="18"/>
                <w:szCs w:val="18"/>
              </w:rPr>
              <w:t>Firing Pattern</w:t>
            </w:r>
          </w:p>
        </w:tc>
        <w:tc>
          <w:tcPr>
            <w:tcW w:w="3560" w:type="dxa"/>
            <w:shd w:val="clear" w:color="auto" w:fill="2E5090"/>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color w:val="FFFFFF"/>
                <w:sz w:val="18"/>
                <w:szCs w:val="18"/>
              </w:rPr>
              <w:t>Behavioral Function</w:t>
            </w:r>
          </w:p>
        </w:tc>
      </w:tr>
      <w:tr>
        <w:tc>
          <w:tcPr>
            <w:tcW w:w="18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Phasic LC firing</w:t>
            </w:r>
          </w:p>
        </w:tc>
        <w:tc>
          <w:tcPr>
            <w:tcW w:w="22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Gut Center (activation pole)</w:t>
            </w:r>
          </w:p>
        </w:tc>
        <w:tc>
          <w:tcPr>
            <w:tcW w:w="18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Brief high-amplitude bursts in response to salient stimuli</w:t>
            </w:r>
          </w:p>
        </w:tc>
        <w:tc>
          <w:tcPr>
            <w:tcW w:w="35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Urgency, arousal, mobilization for action, boundary assertion. The brainstem origin of gut-center behavioral impulses. Phasic LC output drives the body to act NOW — the neurological substrate of anger, assertion, and somatic urgency.</w:t>
            </w:r>
          </w:p>
        </w:tc>
      </w:tr>
      <w:tr>
        <w:tc>
          <w:tcPr>
            <w:tcW w:w="18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Tonic LC firing</w:t>
            </w:r>
          </w:p>
        </w:tc>
        <w:tc>
          <w:tcPr>
            <w:tcW w:w="22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Head Center (exploitation/monitoring pole)</w:t>
            </w:r>
          </w:p>
        </w:tc>
        <w:tc>
          <w:tcPr>
            <w:tcW w:w="18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Sustained low-to-moderate baseline activity</w:t>
            </w:r>
          </w:p>
        </w:tc>
        <w:tc>
          <w:tcPr>
            <w:tcW w:w="35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Vigilance, threat-scanning, narrowing of attentional focus. High tonic NE degrades signal-to-noise in PFC, producing hypervigilance and threat-sensitivity (Type 6 expression). Optimal tonic NE supports sustained monitoring without flooding PFC function.</w:t>
            </w:r>
          </w:p>
        </w:tc>
      </w:tr>
    </w:tbl>
    <w:p>
      <w:pPr>
        <w:pStyle w:val="BodyText"/>
        <w:spacing w:before="0" w:after="80"/>
      </w:pPr>
      <w:r>
        <w:rPr/>
        <w:t/>
      </w:r>
    </w:p>
    <w:p>
      <w:pPr>
        <w:pStyle w:val="BodyText"/>
      </w:pPr>
      <w:r>
        <w:rPr/>
        <w:t>A critical correction from v10: peripheral adrenaline (epinephrine) does not cross the blood-brain barrier in significant amounts and was incorrectly listed as the primary Gut Center activation chemical in earlier versions. The behavioral states of the Gut Center — anger, urgency, arousal, boundary assertion — are generated centrally by the LC-NE system, not peripherally by adrenal epinephrine. Peripheral autonomic activation (racing heart, muscle tension) is a downstream consequence of central LC-NE output, not its cause. This correction grounds the Gut Center in the appropriate brain substrate.</w:t>
      </w:r>
    </w:p>
    <w:p>
      <w:pPr>
        <w:pStyle w:val="Heading2"/>
      </w:pPr>
      <w:r>
        <w:rPr/>
        <w:t>4.3 Heart Center Pole Revision: Why Testosterone Replaces Serotonin</w:t>
      </w:r>
    </w:p>
    <w:p>
      <w:pPr>
        <w:pStyle w:val="BodyText"/>
      </w:pPr>
      <w:r>
        <w:rPr/>
        <w:t>Testosterone is assigned as the containment pole of the heart center because it and oxytocin are an established contrastive pair in the social endocrinology literature. The rationale is documented here in full because the change affects the configuration map, the collapse mechanisms for Types 2, 3, and 4, and the biological assertions registry.</w:t>
      </w:r>
    </w:p>
    <w:p>
      <w:pPr>
        <w:pStyle w:val="BodyText"/>
      </w:pPr>
      <w:r>
        <w:rPr/>
        <w:t>The problem with serotonin was methodological, not descriptive. Serotonin’s association with social rank and mood stability made it a plausible narrative label for the boundaried, status-oriented end of heart center expression. But serotonin has no documented direct suppressive relationship with oxytocin, and it fails the containment pole test that GABA passes cleanly: the containment pole must actively suppress or counter-regulate the activation pole, not merely describe a different behavioral orientation.</w:t>
      </w:r>
    </w:p>
    <w:p>
      <w:pPr>
        <w:pStyle w:val="BodyText"/>
      </w:pPr>
      <w:r>
        <w:rPr/>
        <w:t>The social endocrinology and tend-and-befriend literatures provide an established contrastive pair. Taylor et al. (2000) explicitly positions oxytocin and testosterone as contrasting stress-response orientations: oxytocin drives affiliation and tend-and-befriend; testosterone drives competitive status-seeking and defensive withdrawal from bonding. This is not a novel pairing constructed for this framework — it is an established contrastive pair in a named, well-cited research tradition.</w:t>
      </w:r>
    </w:p>
    <w:p>
      <w:pPr>
        <w:pStyle w:val="BodyText"/>
      </w:pPr>
      <w:r>
        <w:rPr/>
        <w:t>A comprehensive literature review confirmed and sharpened the basis for this pairing. The evidence strongly supports behavioral and functional antagonism across multiple domains: testosterone and oxytocin produce opposite effects on empathy, trust, parental care, and prosocial cooperation (Crespi, 2016). Procyshyn, Bartz and Crespi (2020) provide direct human evidence: simultaneous measurement in 173 adults showed oxytocin increasing and testosterone decreasing under empathy induction (p &lt; 0.001). Gordon et al. (2024) demonstrated that intranasal oxytocin nullifies testosterone’s behavioral influence on parochial altruism in males. However, this functional antagonism does not reflect direct biochemical suppression of circulating levels — Jaeggi et al. (2015) found OT and T co-increasing in returning Tsimane’ hunters. The framework’s claim is therefore not that one hormone suppresses the other’s blood levels. It is that they orient social motivation toward incompatible behavioral programs that cannot be simultaneously dominant. This is a motivational pole model, not a neuroendocrine feedback model.</w:t>
      </w:r>
    </w:p>
    <w:p>
      <w:pPr>
        <w:pStyle w:val="BodyText"/>
      </w:pPr>
      <w:r>
        <w:rPr/>
        <w:t>Vasopressin was considered and rejected. Although vasopressin and oxytocin are frequently discussed as a contrastive neuropeptide pair, vasopressin fails the containment pole test: it does not suppress oxytocin, it competes with it. Two activation systems in rivalry do not constitute an activation/containment pair.</w:t>
      </w:r>
    </w:p>
    <w:p>
      <w:pPr>
        <w:pStyle w:val="BodyText"/>
      </w:pPr>
      <w:r>
        <w:rPr/>
        <w:t>The phenomenological fit is also stronger. Type 3’s orientation toward achievement and competitive self-presentation maps more naturally to testosterone-driven status behavior. Type 4’s defining oscillation — between the longing for merger and the defended, boundaried self that withdraws when merger feels threatening — is precisely described by the oxytocin/testosterone push-pull within a dominant heart center. Testosterone, as oxytocin’s documented opponent in bonding contexts, provides the actual push-pull dynamic that Type 4’s phenomenology requires.</w:t>
      </w:r>
    </w:p>
    <w:p>
      <w:pPr>
        <w:pStyle w:val="Heading2"/>
      </w:pPr>
      <w:r>
        <w:rPr/>
        <w:t>4.4 Neurochemical Antagonisms</w:t>
      </w:r>
    </w:p>
    <w:p>
      <w:pPr>
        <w:pStyle w:val="BodyText"/>
      </w:pPr>
      <w:r>
        <w:rPr/>
        <w:t>Two chemicals are motivationally incompatible when they orient the nervous system toward behavioral programs that cannot be simultaneously dominant — not because one suppresses the other’s circulating levels, but because executing one program fully requires the cognitive and physiological resources that the other program also requires. The incompatibility is in the commitment, not the chemistry. This is the sense in which all pole antagonisms in this framework should be read.</w:t>
      </w:r>
    </w:p>
    <w:p>
      <w:pPr>
        <w:pStyle w:val="BodyText"/>
        <w:spacing w:before="0" w:after="80"/>
      </w:pPr>
      <w:r>
        <w:rPr/>
        <w:t/>
      </w:r>
    </w:p>
    <w:tbl>
      <w:tblPr>
        <w:tblW w:w="9360" w:type="dxa"/>
        <w:tblLayout w:type="fixed"/>
      </w:tblPr>
      <w:tr>
        <w:tc>
          <w:tcPr>
            <w:tcW w:w="1600" w:type="dxa"/>
            <w:shd w:val="clear" w:color="auto" w:fill="2E5090"/>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color w:val="FFFFFF"/>
                <w:sz w:val="18"/>
                <w:szCs w:val="18"/>
              </w:rPr>
              <w:t>Center</w:t>
            </w:r>
          </w:p>
        </w:tc>
        <w:tc>
          <w:tcPr>
            <w:tcW w:w="2400" w:type="dxa"/>
            <w:shd w:val="clear" w:color="auto" w:fill="2E5090"/>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color w:val="FFFFFF"/>
                <w:sz w:val="18"/>
                <w:szCs w:val="18"/>
              </w:rPr>
              <w:t>Activation Pole</w:t>
            </w:r>
          </w:p>
        </w:tc>
        <w:tc>
          <w:tcPr>
            <w:tcW w:w="2400" w:type="dxa"/>
            <w:shd w:val="clear" w:color="auto" w:fill="2E5090"/>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color w:val="FFFFFF"/>
                <w:sz w:val="18"/>
                <w:szCs w:val="18"/>
              </w:rPr>
              <w:t>Containment Pole</w:t>
            </w:r>
          </w:p>
        </w:tc>
        <w:tc>
          <w:tcPr>
            <w:tcW w:w="2960" w:type="dxa"/>
            <w:shd w:val="clear" w:color="auto" w:fill="2E5090"/>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color w:val="FFFFFF"/>
                <w:sz w:val="18"/>
                <w:szCs w:val="18"/>
              </w:rPr>
              <w:t>Nature of Antagonism</w:t>
            </w:r>
          </w:p>
        </w:tc>
      </w:tr>
      <w:tr>
        <w:tc>
          <w:tcPr>
            <w:tcW w:w="16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Gut</w:t>
            </w:r>
          </w:p>
        </w:tc>
        <w:tc>
          <w:tcPr>
            <w:tcW w:w="24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LC-NE phasic firing (urgency, arousal, mobilization)</w:t>
            </w:r>
          </w:p>
        </w:tc>
        <w:tc>
          <w:tcPr>
            <w:tcW w:w="24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GABA / Vagal / Parasympathetic tone</w:t>
            </w:r>
          </w:p>
        </w:tc>
        <w:tc>
          <w:tcPr>
            <w:tcW w:w="29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Direct functional antagonism — phasic LC-NE activation suppresses parasympathetic tone and vice versa. Reciprocal inhibition through structural neural pathways. Well-established in autonomic nervous system research (Jänig, 2008). See B14.</w:t>
            </w:r>
          </w:p>
        </w:tc>
      </w:tr>
      <w:tr>
        <w:tc>
          <w:tcPr>
            <w:tcW w:w="16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Heart</w:t>
            </w:r>
          </w:p>
        </w:tc>
        <w:tc>
          <w:tcPr>
            <w:tcW w:w="24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Oxytocin (bonding)</w:t>
            </w:r>
          </w:p>
        </w:tc>
        <w:tc>
          <w:tcPr>
            <w:tcW w:w="24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Testosterone (status/identity)</w:t>
            </w:r>
          </w:p>
        </w:tc>
        <w:tc>
          <w:tcPr>
            <w:tcW w:w="29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Functional motivational incompatibility — testosterone and oxytocin orient behavior toward incompatible social programs. Strong evidence for opposite behavioral effects across empathy, trust, parental care, and prosocial cooperation (Crespi, 2016; Procyshyn et al., 2020; Gordon et al., 2024). NOT confirmed as direct biochemical suppression of circulating levels (Jaeggi et al., 2015). See B6-new, B7-new, B17, B18.</w:t>
            </w:r>
          </w:p>
        </w:tc>
      </w:tr>
      <w:tr>
        <w:tc>
          <w:tcPr>
            <w:tcW w:w="16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Head</w:t>
            </w:r>
          </w:p>
        </w:tc>
        <w:tc>
          <w:tcPr>
            <w:tcW w:w="24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Dopamine (exploration — novelty-seeking, reward anticipation, future-modeling)</w:t>
            </w:r>
          </w:p>
        </w:tc>
        <w:tc>
          <w:tcPr>
            <w:tcW w:w="24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NE tonic + Acetylcholine (exploitation — threat-monitoring, signal discrimination, sustained attention)</w:t>
            </w:r>
          </w:p>
        </w:tc>
        <w:tc>
          <w:tcPr>
            <w:tcW w:w="29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Explore/exploit trade-off — a computationally grounded model of how the PFC allocates attention. Dopamine biases the system toward generating new possibilities; tonic NE and ACh bias the system toward monitoring and refining the current state. These are incompatible attentional orientations. IMPORTANT: dopamine and NE are not biochemical opposites in the PFC — both must be in an optimal inverted-U range (Arnsten, 1998). The antagonism is between computational modes, not chemicals.</w:t>
            </w:r>
          </w:p>
        </w:tc>
      </w:tr>
    </w:tbl>
    <w:p>
      <w:pPr>
        <w:pStyle w:val="BodyText"/>
        <w:spacing w:before="0" w:after="80"/>
      </w:pPr>
      <w:r>
        <w:rPr/>
        <w:t/>
      </w:r>
    </w:p>
    <w:p>
      <w:pPr>
        <w:pStyle w:val="BodyText"/>
      </w:pPr>
      <w:r>
        <w:rPr/>
        <w:t>Note on cortisol: Cortisol was a candidate for the heart center containment pole given its documented bidirectional antagonism with oxytocin. It was not selected because cortisol is already assigned as the head center’s primary Cascade Theory pillar, and because testosterone’s antagonism with oxytocin is more behaviorally specific to the heart center’s social territory. Cortisol’s cross-system role is addressed as a resolved design decision in Section 14.4: cortisol functions as a collapse trigger for the heart center but is not a heart center pole chemical. The poles are testosterone and oxytocin; cortisol is the background stress condition that initiates oxytocin failure.</w:t>
      </w:r>
    </w:p>
    <w:p>
      <w:pPr>
        <w:pStyle w:val="Heading1"/>
      </w:pPr>
      <w:r>
        <w:rPr/>
        <w:t>5. Object Relations as Meta-Formula</w:t>
      </w:r>
    </w:p>
    <w:p>
      <w:pPr>
        <w:pStyle w:val="BodyText"/>
      </w:pPr>
      <w:r>
        <w:rPr/>
        <w:t>Object Relations describes how the three primary neurochemical systems coordinate relative to each other as overall activation changes. It is not a fourth chemical system — it is a description of the differential response pattern of the three systems under load.</w:t>
      </w:r>
    </w:p>
    <w:p>
      <w:pPr>
        <w:pStyle w:val="Heading2"/>
      </w:pPr>
      <w:r>
        <w:rPr/>
        <w:t>5.1 The Differential Response Model</w:t>
      </w:r>
    </w:p>
    <w:p>
      <w:pPr>
        <w:pStyle w:val="BodyText"/>
      </w:pPr>
      <w:r>
        <w:rPr/>
        <w:t>When overall activation rises, gut, heart, and head systems do not necessarily rise proportionally. The pattern of which system rises faster, which gets suppressed, and which dominates is the Object Relations signature. This is a second-order property — it describes the dynamics of the system, not the state of any single chemical.</w:t>
      </w:r>
    </w:p>
    <w:p>
      <w:pPr>
        <w:pStyle w:val="BodyText"/>
        <w:spacing w:before="0" w:after="80"/>
      </w:pPr>
      <w:r>
        <w:rPr/>
        <w:t/>
      </w:r>
    </w:p>
    <w:tbl>
      <w:tblPr>
        <w:tblW w:w="9360" w:type="dxa"/>
        <w:tblLayout w:type="fixed"/>
      </w:tblPr>
      <w:tr>
        <w:tc>
          <w:tcPr>
            <w:tcW w:w="2000" w:type="dxa"/>
            <w:shd w:val="clear" w:color="auto" w:fill="2E5090"/>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color w:val="FFFFFF"/>
                <w:sz w:val="18"/>
                <w:szCs w:val="18"/>
              </w:rPr>
              <w:t>Group</w:t>
            </w:r>
          </w:p>
        </w:tc>
        <w:tc>
          <w:tcPr>
            <w:tcW w:w="1200" w:type="dxa"/>
            <w:shd w:val="clear" w:color="auto" w:fill="2E5090"/>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color w:val="FFFFFF"/>
                <w:sz w:val="18"/>
                <w:szCs w:val="18"/>
              </w:rPr>
              <w:t>Types</w:t>
            </w:r>
          </w:p>
        </w:tc>
        <w:tc>
          <w:tcPr>
            <w:tcW w:w="6160" w:type="dxa"/>
            <w:shd w:val="clear" w:color="auto" w:fill="2E5090"/>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color w:val="FFFFFF"/>
                <w:sz w:val="18"/>
                <w:szCs w:val="18"/>
              </w:rPr>
              <w:t>Differential Response Pattern Under Load</w:t>
            </w:r>
          </w:p>
        </w:tc>
      </w:tr>
      <w:tr>
        <w:tc>
          <w:tcPr>
            <w:tcW w:w="20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Attachment</w:t>
            </w:r>
          </w:p>
        </w:tc>
        <w:tc>
          <w:tcPr>
            <w:tcW w:w="12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3, 6, 9</w:t>
            </w:r>
          </w:p>
        </w:tc>
        <w:tc>
          <w:tcPr>
            <w:tcW w:w="61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All three systems rise and fall in sync. The neurochemical profile shifts as a coherent unit in response to environmental pressure.</w:t>
            </w:r>
          </w:p>
        </w:tc>
      </w:tr>
      <w:tr>
        <w:tc>
          <w:tcPr>
            <w:tcW w:w="20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Frustration</w:t>
            </w:r>
          </w:p>
        </w:tc>
        <w:tc>
          <w:tcPr>
            <w:tcW w:w="12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1, 4, 7</w:t>
            </w:r>
          </w:p>
        </w:tc>
        <w:tc>
          <w:tcPr>
            <w:tcW w:w="61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The three systems are chronically out of sync. As activation increases, different systems pull in different directions — one may flood while another suppresses, creating internal tension.</w:t>
            </w:r>
          </w:p>
        </w:tc>
      </w:tr>
      <w:tr>
        <w:tc>
          <w:tcPr>
            <w:tcW w:w="20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Rejection</w:t>
            </w:r>
          </w:p>
        </w:tc>
        <w:tc>
          <w:tcPr>
            <w:tcW w:w="12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2, 5, 8</w:t>
            </w:r>
          </w:p>
        </w:tc>
        <w:tc>
          <w:tcPr>
            <w:tcW w:w="61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One or more systems are defensively isolated. As overall charge increases, one system is walled off or dampened to protect the whole.</w:t>
            </w:r>
          </w:p>
        </w:tc>
      </w:tr>
    </w:tbl>
    <w:p>
      <w:pPr>
        <w:pStyle w:val="BodyText"/>
        <w:spacing w:before="0" w:after="80"/>
      </w:pPr>
      <w:r>
        <w:rPr/>
        <w:t/>
      </w:r>
    </w:p>
    <w:p>
      <w:pPr>
        <w:pStyle w:val="Heading2"/>
      </w:pPr>
      <w:r>
        <w:rPr/>
        <w:t>5.2 Why Object Relations Came Later</w:t>
      </w:r>
    </w:p>
    <w:p>
      <w:pPr>
        <w:pStyle w:val="BodyText"/>
      </w:pPr>
      <w:r>
        <w:rPr/>
        <w:t>The classical enneagram system has three triads. Object Relations was added later by Riso and Hudson. This historical fact aligns with its structural role in this framework: the first three triads describe the fundamental axes of personality organization, while Object Relations describes a property that emerges from how those axes interact under load. It is a higher-order description, not a parallel axis.</w:t>
      </w:r>
    </w:p>
    <w:p>
      <w:pPr>
        <w:pStyle w:val="BodyText"/>
      </w:pPr>
      <w:r>
        <w:rPr/>
        <w:t>This framework is independently supported by Cascade Theory’s finding that mutual regulation between the oxytocin and cortisol systems is a clinical marker of resilience — and mutual dysregulation a marker of PTSD vulnerability (Frijling et al., 2018). The relationship between systems, not the state of any individual system, is the health marker. This is the Object Relations meta-formula stated in clinical neuroscience language. Two independent inquiry systems arrived at the same architectural insight.</w:t>
      </w:r>
    </w:p>
    <w:p>
      <w:pPr>
        <w:pStyle w:val="Heading1"/>
      </w:pPr>
      <w:r>
        <w:rPr/>
        <w:t>6. The Neurochemical Basis of the Three Instincts</w:t>
      </w:r>
    </w:p>
    <w:p>
      <w:pPr>
        <w:pStyle w:val="BodyText"/>
      </w:pPr>
      <w:r>
        <w:rPr/>
        <w:t>The three instincts — Self-Preservation, Sexual, and Social — are not abstract psychological categories. They are functional solutions to three distinct evolutionary survival problems, each implemented in separable neural systems with different neurochemical signatures. The scientific grounding is drawn from three converging frameworks: Panksepp’s affective neuroscience, Gray’s BIS/BAS model, and Porges’ Polyvagal Theory.</w:t>
      </w:r>
    </w:p>
    <w:p>
      <w:pPr>
        <w:pStyle w:val="Heading2"/>
      </w:pPr>
      <w:r>
        <w:rPr/>
        <w:t>6.1 The Self-Preservation Instinct</w:t>
      </w:r>
    </w:p>
    <w:p>
      <w:pPr>
        <w:pStyle w:val="BodyText"/>
      </w:pPr>
      <w:r>
        <w:rPr/>
        <w:t>Self-Preservation addresses the biological problem of organism survival: securing resources, avoiding threat, maintaining physical integrity. The more precise scientific grounding is Gray’s Behavioral Inhibition System (BIS) — a neural system evolved to respond to signals of threat, novelty, and conflict by generating behavioral inhibition, risk assessment, and heightened arousal. Its primary neural substrates are the septo-hippocampal system, with key contributions from the noradrenergic locus coeruleus and serotonergic raphe nuclei.</w:t>
      </w:r>
    </w:p>
    <w:p>
      <w:pPr>
        <w:pStyle w:val="BodyText"/>
      </w:pPr>
      <w:r>
        <w:rPr/>
        <w:t>Panksepp’s FEAR system provides additional circuit-level specificity: a primary emotional system with specific neural architecture (amygdala activation driving periaqueductal gray responses) and characteristic phenomenology of dread, freezing, and escape motivation. SP-dominant types are characterized by lower BIS thresholds and more readily activated FEAR circuitry — not as pathology, but as a calibrated sensitivity that makes the SP problem domain the organizing lens for behavior.</w:t>
      </w:r>
    </w:p>
    <w:p>
      <w:pPr>
        <w:pStyle w:val="Citation"/>
      </w:pPr>
      <w:r>
        <w:rPr>
          <w:i/>
          <w:iCs/>
        </w:rPr>
        <w:t>Gray, J.A. &amp; McNaughton, N. (2000). The Neuropsychology of Anxiety (2nd ed.). Oxford University Press.</w:t>
      </w:r>
    </w:p>
    <w:p>
      <w:pPr>
        <w:pStyle w:val="Citation"/>
      </w:pPr>
      <w:r>
        <w:rPr>
          <w:i/>
          <w:iCs/>
        </w:rPr>
        <w:t>Panksepp, J. (1998). Affective Neuroscience: The Foundations of Human and Animal Emotions. Oxford University Press.</w:t>
      </w:r>
    </w:p>
    <w:p>
      <w:pPr>
        <w:pStyle w:val="Heading2"/>
      </w:pPr>
      <w:r>
        <w:rPr/>
        <w:t>6.2 The Sexual Instinct</w:t>
      </w:r>
    </w:p>
    <w:p>
      <w:pPr>
        <w:pStyle w:val="BodyText"/>
      </w:pPr>
      <w:r>
        <w:rPr/>
        <w:t>The Sexual instinct addresses the biological problem of reproductive success and pair-bonding, but its functional scope is broader: it is the system responsible for intense one-to-one connection, focused desire, and the experience of another person or goal as uniquely compelling. The primary neural system is Panksepp’s SEEKING system — the mesolimbic dopamine pathway (ventral tegmental area projecting to nucleus accumbens and prefrontal cortex) — which generates the phenomenology of wanting, anticipation, and directed motivational arousal.</w:t>
      </w:r>
    </w:p>
    <w:p>
      <w:pPr>
        <w:pStyle w:val="BodyText"/>
      </w:pPr>
      <w:r>
        <w:rPr/>
        <w:t>Gray’s Behavioral Activation System (BAS) overlaps substantially with the SEEKING system: both drive approach motivation, reward sensitivity, and energized goal-pursuit. BAS activity is the functional signature of Sexual instinct engagement in non-reproductive contexts. Oxytocin and vasopressin are involved in the attachment and bonding dimensions, providing the neurochemical substrate for pair-bonding and exclusivity.</w:t>
      </w:r>
    </w:p>
    <w:p>
      <w:pPr>
        <w:pStyle w:val="Citation"/>
      </w:pPr>
      <w:r>
        <w:rPr>
          <w:i/>
          <w:iCs/>
        </w:rPr>
        <w:t>Panksepp, J. &amp; Biven, L. (2012). The Archaeology of Mind: Neuroevolutionary Origins of Human Emotions. Norton.</w:t>
      </w:r>
    </w:p>
    <w:p>
      <w:pPr>
        <w:pStyle w:val="Citation"/>
      </w:pPr>
      <w:r>
        <w:rPr>
          <w:i/>
          <w:iCs/>
        </w:rPr>
        <w:t>Corr, P.J. (2008). The Reinforcement Sensitivity Theory of Personality. Cambridge University Press.</w:t>
      </w:r>
    </w:p>
    <w:p>
      <w:pPr>
        <w:pStyle w:val="Heading2"/>
      </w:pPr>
      <w:r>
        <w:rPr/>
        <w:t>6.3 The Social Instinct</w:t>
      </w:r>
    </w:p>
    <w:p>
      <w:pPr>
        <w:pStyle w:val="BodyText"/>
      </w:pPr>
      <w:r>
        <w:rPr/>
        <w:t>The Social instinct addresses the biological problem of group living: coordinating with conspecifics, negotiating status hierarchies, maintaining group membership, and reading the social landscape. Porges’ Polyvagal Theory provides the foundational architecture. The ventral vagal complex — the evolutionarily newest branch of the vagus nerve — is specifically adapted for social engagement. It regulates the muscles of facial expression, vocalization, and listening, and it functionally inhibits defensive systems when activated. Social instinct engagement is associated with ventral vagal dominance.</w:t>
      </w:r>
    </w:p>
    <w:p>
      <w:pPr>
        <w:pStyle w:val="BodyText"/>
      </w:pPr>
      <w:r>
        <w:rPr/>
        <w:t>The mirror neuron system provides the mechanism for social cognition. Oxytocin mediates trust, affiliation, and in-group bonding. Serotonergic systems are implicated in status regulation and dominance behavior — serotonin levels co-vary with social rank in primate studies, providing the neurochemical substrate for the Social instinct’s status-monitoring function.</w:t>
      </w:r>
    </w:p>
    <w:p>
      <w:pPr>
        <w:pStyle w:val="Citation"/>
      </w:pPr>
      <w:r>
        <w:rPr>
          <w:i/>
          <w:iCs/>
        </w:rPr>
        <w:t>Porges, S.W. (2011). The Polyvagal Theory: Neurophysiological Foundations of Emotions, Attachment, Communication, and Self-Regulation. Norton.</w:t>
      </w:r>
    </w:p>
    <w:p>
      <w:pPr>
        <w:pStyle w:val="BodyText"/>
      </w:pPr>
      <w:r>
        <w:rPr/>
        <w:t>A theoretical note on the relationship between the instinct stack and narrative identity theory — specifically, the proposal that the dominant instinct predicts the nature of the audience a person organizes their self-coherence performance around — is developed in Section 16.8.</w:t>
      </w:r>
    </w:p>
    <w:p>
      <w:pPr>
        <w:pStyle w:val="Heading1"/>
      </w:pPr>
      <w:r>
        <w:rPr/>
        <w:t>7. The Type Signature: A Two-Variable Model</w:t>
      </w:r>
    </w:p>
    <w:p>
      <w:pPr>
        <w:pStyle w:val="BodyText"/>
      </w:pPr>
      <w:r>
        <w:rPr/>
        <w:t>The neurochemical signature of an enneagram type is defined by two independent variables.</w:t>
      </w:r>
    </w:p>
    <w:p>
      <w:pPr>
        <w:pStyle w:val="Heading2"/>
      </w:pPr>
      <w:r>
        <w:rPr/>
        <w:t>7.1 Baseline Chemical Hierarchy</w:t>
      </w:r>
    </w:p>
    <w:p>
      <w:pPr>
        <w:pStyle w:val="BodyText"/>
      </w:pPr>
      <w:r>
        <w:rPr/>
        <w:t>At rest, a person has a characteristic hierarchy of neurochemical concentrations. Two people of the same type may have different absolute concentrations — but they share the same hierarchical ordering. This is the type’s resting configuration.</w:t>
      </w:r>
    </w:p>
    <w:p>
      <w:pPr>
        <w:pStyle w:val="Heading2"/>
      </w:pPr>
      <w:r>
        <w:rPr/>
        <w:t>7.2 Stress Response Trajectory</w:t>
      </w:r>
    </w:p>
    <w:p>
      <w:pPr>
        <w:pStyle w:val="BodyText"/>
      </w:pPr>
      <w:r>
        <w:rPr/>
        <w:t>As activation increases, the hierarchy changes. The stress response trajectory describes which chemicals rise fastest, which plateau, and which get suppressed as the system moves up the activation curve. This trajectory is independent of the baseline hierarchy — two people could have identical baseline hierarchies but completely different stress response trajectories, resulting in different type signatures. The full type signature: where you start (baseline hierarchy) plus how you change (stress response trajectory). Type is not a static state — it is a dynamic pattern.</w:t>
      </w:r>
    </w:p>
    <w:p>
      <w:pPr>
        <w:pStyle w:val="Heading2"/>
      </w:pPr>
      <w:r>
        <w:rPr/>
        <w:t>7.3 Genetic and Epigenetic Architecture as Root Cause</w:t>
      </w:r>
    </w:p>
    <w:p>
      <w:pPr>
        <w:pStyle w:val="BodyText"/>
      </w:pPr>
      <w:r>
        <w:rPr/>
        <w:t>Both variables — baseline chemical hierarchy and stress response trajectory — are ultimately determined by the expression levels and receptor sensitivities of the neuromodulator systems themselves. These are set by two interacting layers.</w:t>
      </w:r>
    </w:p>
    <w:p>
      <w:pPr>
        <w:pStyle w:val="BodyText"/>
      </w:pPr>
      <w:r>
        <w:rPr/>
        <w:t>At the genetic level, polymorphisms in genes governing neuromodulator production, degradation, and receptor function create stable individual differences in baseline neurochemical tone before developmental experience substantially modifies them. The COMT Val158Met polymorphism — which determines the rate of catecholamine degradation in the prefrontal cortex — is a well-documented example: allelic variation produces measurable differences in baseline dopamine and norepinephrine availability that correlate with personality and cognitive traits (Dreher et al., 2009).</w:t>
      </w:r>
    </w:p>
    <w:p>
      <w:pPr>
        <w:pStyle w:val="BodyText"/>
      </w:pPr>
      <w:r>
        <w:rPr/>
        <w:t>At the epigenetic level, early developmental experience — particularly stress during critical periods — modifies the expression of stress-response genes through DNA methylation without altering the underlying sequence. Methylation of NR3C1 and FKBP5 — the primary regulatory genes of the HPA axis — alters glucocorticoid receptor sensitivity and cortisol set point in ways that persist into adulthood (Zannas &amp; Binder, 2014; Hing et al., 2018). This is the molecular mechanism through which Section 2.2’s allostatic embedding operates: the set point changes described there are implemented at the level of gene expression regulation. Level 1 and Section 2.2 describe the same process at different levels of analysis.</w:t>
      </w:r>
    </w:p>
    <w:p>
      <w:pPr>
        <w:pStyle w:val="BodyText"/>
      </w:pPr>
      <w:r>
        <w:rPr/>
        <w:t>This replaces the organ efficiency framing from earlier versions of this document. Organ-level production capacity is a downstream description; gene expression regulation is the more precise and empirically grounded substrate. The full six-level causal architecture is described in Section 8.</w:t>
      </w:r>
    </w:p>
    <w:p>
      <w:pPr>
        <w:pStyle w:val="Heading1"/>
      </w:pPr>
      <w:r>
        <w:rPr/>
        <w:t>8. The Layered Architecture: A Systems Hierarchy</w:t>
      </w:r>
    </w:p>
    <w:p>
      <w:pPr>
        <w:pStyle w:val="BodyText"/>
      </w:pPr>
      <w:r>
        <w:rPr/>
        <w:t>The framework is a hierarchy of emergent layers, each causally upstream of the one above it. Intervention is possible at any level — the lower the level, the more fundamental the potential change. Work done only at Level 6 — behavioral coaching, self-awareness practice, cognitive reframing — leaves the lower levels untouched. Genuine type-level transformation may require intervention at Levels 1 through 3.</w:t>
      </w:r>
    </w:p>
    <w:p>
      <w:pPr>
        <w:pStyle w:val="BodyText"/>
        <w:spacing w:before="0" w:after="80"/>
      </w:pPr>
      <w:r>
        <w:rPr/>
        <w:t/>
      </w:r>
    </w:p>
    <w:tbl>
      <w:tblPr>
        <w:tblW w:w="9360" w:type="dxa"/>
        <w:tblLayout w:type="fixed"/>
      </w:tblPr>
      <w:tr>
        <w:tc>
          <w:tcPr>
            <w:tcW w:w="800" w:type="dxa"/>
            <w:shd w:val="clear" w:color="auto" w:fill="2E5090"/>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color w:val="FFFFFF"/>
                <w:sz w:val="18"/>
                <w:szCs w:val="18"/>
              </w:rPr>
              <w:t>Level</w:t>
            </w:r>
          </w:p>
        </w:tc>
        <w:tc>
          <w:tcPr>
            <w:tcW w:w="2000" w:type="dxa"/>
            <w:shd w:val="clear" w:color="auto" w:fill="2E5090"/>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color w:val="FFFFFF"/>
                <w:sz w:val="18"/>
                <w:szCs w:val="18"/>
              </w:rPr>
              <w:t>Name</w:t>
            </w:r>
          </w:p>
        </w:tc>
        <w:tc>
          <w:tcPr>
            <w:tcW w:w="3760" w:type="dxa"/>
            <w:shd w:val="clear" w:color="auto" w:fill="2E5090"/>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color w:val="FFFFFF"/>
                <w:sz w:val="18"/>
                <w:szCs w:val="18"/>
              </w:rPr>
              <w:t>Description</w:t>
            </w:r>
          </w:p>
        </w:tc>
        <w:tc>
          <w:tcPr>
            <w:tcW w:w="2800" w:type="dxa"/>
            <w:shd w:val="clear" w:color="auto" w:fill="2E5090"/>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color w:val="FFFFFF"/>
                <w:sz w:val="18"/>
                <w:szCs w:val="18"/>
              </w:rPr>
              <w:t>Example Interventions</w:t>
            </w:r>
          </w:p>
        </w:tc>
      </w:tr>
      <w:tr>
        <w:tc>
          <w:tcPr>
            <w:tcW w:w="8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1</w:t>
            </w:r>
          </w:p>
        </w:tc>
        <w:tc>
          <w:tcPr>
            <w:tcW w:w="20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Organ Physiology</w:t>
            </w:r>
          </w:p>
        </w:tc>
        <w:tc>
          <w:tcPr>
            <w:tcW w:w="37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Production capacity and metabolic efficiency of adrenal glands, hypothalamus, pituitary, liver. The biological substrate everything else is built on.</w:t>
            </w:r>
          </w:p>
        </w:tc>
        <w:tc>
          <w:tcPr>
            <w:tcW w:w="28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Nutrition, medication, sleep, exercise, somatic therapy, hormonal treatment</w:t>
            </w:r>
          </w:p>
        </w:tc>
      </w:tr>
      <w:tr>
        <w:tc>
          <w:tcPr>
            <w:tcW w:w="8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2</w:t>
            </w:r>
          </w:p>
        </w:tc>
        <w:tc>
          <w:tcPr>
            <w:tcW w:w="20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Neurochemical Ratios</w:t>
            </w:r>
          </w:p>
        </w:tc>
        <w:tc>
          <w:tcPr>
            <w:tcW w:w="37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Characteristic hierarchy of neurochemical concentrations at rest and under load. Includes both baseline hierarchy and stress response trajectory.</w:t>
            </w:r>
          </w:p>
        </w:tc>
        <w:tc>
          <w:tcPr>
            <w:tcW w:w="28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Breathwork, nervous system regulation, targeted supplementation, pharmacological intervention</w:t>
            </w:r>
          </w:p>
        </w:tc>
      </w:tr>
      <w:tr>
        <w:tc>
          <w:tcPr>
            <w:tcW w:w="8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3</w:t>
            </w:r>
          </w:p>
        </w:tc>
        <w:tc>
          <w:tcPr>
            <w:tcW w:w="20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Three Pole Spectrums</w:t>
            </w:r>
          </w:p>
        </w:tc>
        <w:tc>
          <w:tcPr>
            <w:tcW w:w="37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Each center is a spectrum between two neurochemical poles. Ratios from Level 2 determine position on each spectrum. Chemical antagonisms constrain stable positions.</w:t>
            </w:r>
          </w:p>
        </w:tc>
        <w:tc>
          <w:tcPr>
            <w:tcW w:w="28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Somatic practices targeting specific centers</w:t>
            </w:r>
          </w:p>
        </w:tc>
      </w:tr>
      <w:tr>
        <w:tc>
          <w:tcPr>
            <w:tcW w:w="8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4</w:t>
            </w:r>
          </w:p>
        </w:tc>
        <w:tc>
          <w:tcPr>
            <w:tcW w:w="20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Nine Equilibrium States</w:t>
            </w:r>
          </w:p>
        </w:tc>
        <w:tc>
          <w:tcPr>
            <w:tcW w:w="37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The three spectrums interact under shared CAN constraints. The system gravitates toward one of nine stable attractor states — the enneagram type.</w:t>
            </w:r>
          </w:p>
        </w:tc>
        <w:tc>
          <w:tcPr>
            <w:tcW w:w="28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Enneagram-informed coaching and therapy</w:t>
            </w:r>
          </w:p>
        </w:tc>
      </w:tr>
      <w:tr>
        <w:tc>
          <w:tcPr>
            <w:tcW w:w="8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5</w:t>
            </w:r>
          </w:p>
        </w:tc>
        <w:tc>
          <w:tcPr>
            <w:tcW w:w="20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Object Relations (Meta-Pattern)</w:t>
            </w:r>
          </w:p>
        </w:tc>
        <w:tc>
          <w:tcPr>
            <w:tcW w:w="37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How the three pole spectrums coordinate with each other as overall activation changes. Cascade Theory's mutual regulation finding maps here.</w:t>
            </w:r>
          </w:p>
        </w:tc>
        <w:tc>
          <w:tcPr>
            <w:tcW w:w="28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Trauma-informed relational therapy; inter-system coherence work</w:t>
            </w:r>
          </w:p>
        </w:tc>
      </w:tr>
      <w:tr>
        <w:tc>
          <w:tcPr>
            <w:tcW w:w="8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6</w:t>
            </w:r>
          </w:p>
        </w:tc>
        <w:tc>
          <w:tcPr>
            <w:tcW w:w="20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Behavioral Expression</w:t>
            </w:r>
          </w:p>
        </w:tc>
        <w:tc>
          <w:tcPr>
            <w:tcW w:w="37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Psychological patterns, relational strategies, defensive structures. The surface expression of everything below.</w:t>
            </w:r>
          </w:p>
        </w:tc>
        <w:tc>
          <w:tcPr>
            <w:tcW w:w="28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Talk therapy, behavioral coaching, enneagram self-inquiry</w:t>
            </w:r>
          </w:p>
        </w:tc>
      </w:tr>
    </w:tbl>
    <w:p>
      <w:pPr>
        <w:pStyle w:val="BodyText"/>
        <w:spacing w:before="0" w:after="80"/>
      </w:pPr>
      <w:r>
        <w:rPr/>
        <w:t/>
      </w:r>
    </w:p>
    <w:p>
      <w:pPr>
        <w:pStyle w:val="Heading2"/>
      </w:pPr>
      <w:r>
        <w:rPr/>
        <w:t>8.1 Where Cascade Theory Enters</w:t>
      </w:r>
    </w:p>
    <w:p>
      <w:pPr>
        <w:pStyle w:val="BodyText"/>
      </w:pPr>
      <w:r>
        <w:rPr/>
        <w:t>Cascade Theory describes what happens when early developmental trauma disrupts the system at Level 1 — shaping organ efficiency and neurochemical ratios during critical developmental periods. Those disruptions propagate upward through every subsequent level, ultimately crystallizing as the type pattern at Level 4. This is the neurobiological mechanism behind Marion Gilbert’s premise that type patterns are survival strategies formed in response to overwhelming charge. Section 2.2’s allostatic embedding mechanism is the physiological process through which this disruption becomes structural.</w:t>
      </w:r>
    </w:p>
    <w:p>
      <w:pPr>
        <w:pStyle w:val="Heading2"/>
      </w:pPr>
      <w:r>
        <w:rPr/>
        <w:t>8.2 Implications for Therapeutic Aims</w:t>
      </w:r>
    </w:p>
    <w:p>
      <w:pPr>
        <w:pStyle w:val="BodyText"/>
      </w:pPr>
      <w:r>
        <w:rPr/>
        <w:t>The layered architecture has a direct implication for how therapeutic goals are set. If a clinician is working only at Level 6 — addressing behavioral patterns, relational strategies, and cognitive habits — they are working on the surface expression of a system whose deeper levels remain unchanged. Insight and behavioral change are real and valuable, but they do not alter the neurochemical ratios at Level 2 or the organ-level production capacities at Level 1. When the work stops, the chemistry reasserts the pattern.</w:t>
      </w:r>
    </w:p>
    <w:p>
      <w:pPr>
        <w:pStyle w:val="BodyText"/>
      </w:pPr>
      <w:r>
        <w:rPr/>
        <w:t>Knowing a client’s enneagram type — and by extension their probable neurochemical configuration — allows a therapist to match intervention modality to the level of the system most likely to be driving the presenting pattern. A Type 6 presenting with chronic anxiety is most precisely understood as a norepinephrine-dominant system running a continuous threat-scan. Talk therapy targeting the anxious thoughts is Level 6 work. Somatic practices that directly regulate the autonomic nervous system operate at Level 2. Addressing the underlying trauma that shaped the original norepinephrine bias reaches Level 1. Each level of intervention is legitimate; the framework clarifies what each one is actually changing and what it is leaving untouched.</w:t>
      </w:r>
    </w:p>
    <w:p>
      <w:pPr>
        <w:pStyle w:val="BodyText"/>
      </w:pPr>
      <w:r>
        <w:rPr/>
        <w:t>The same logic applies to the stress and security point system. A client who consistently collapses into their stress point under pressure is not failing at self-awareness — they are experiencing a neurochemical threshold event. Therapeutic work aimed at raising that threshold is categorically different from work aimed at managing the behavioral consequences after collapse has occurred. Type-informed therapy makes this distinction explicit and actionable.</w:t>
      </w:r>
    </w:p>
    <w:p>
      <w:pPr>
        <w:pStyle w:val="BodyText"/>
      </w:pPr>
      <w:r>
        <w:rPr/>
        <w:t>This does not require a therapist to become a neurochemist. It requires a therapist to know which center is dominant in the client in front of them, which center is suppressed, and at what level their intervention is operating. The enneagram already provides the first two. This framework provides the biological rationale for why that information is clinically meaningful. All clinical implications stated here are conditional on empirical validation of the framework’s core claims. See Section 17.1 for the falsifiability register.</w:t>
      </w:r>
    </w:p>
    <w:p>
      <w:pPr>
        <w:pStyle w:val="Heading1"/>
      </w:pPr>
      <w:r>
        <w:rPr/>
        <w:t>9. Marion Gilbert’s Somatic Framework</w:t>
      </w:r>
    </w:p>
    <w:p>
      <w:pPr>
        <w:pStyle w:val="BodyText"/>
      </w:pPr>
      <w:r>
        <w:rPr/>
        <w:t>Marion Gilbert — a registered physical therapist with training in craniosacral therapy and trauma resolution, and a Riso-Hudson certified enneagram teacher — has developed the most clinically grounded somatic framework for the enneagram. Her work centers on the concept of neurochemical charge and the nervous system’s capacity to conduct it.</w:t>
      </w:r>
    </w:p>
    <w:p>
      <w:pPr>
        <w:pStyle w:val="ListBullet"/>
        <w:numPr>
          <w:ilvl w:val="0"/>
          <w:numId w:val="1"/>
        </w:numPr>
      </w:pPr>
      <w:r>
        <w:rPr/>
        <w:t>The nervous system has a finite capacity to conduct neurochemical charge. When activation exceeds that capacity, the system develops containment strategies.</w:t>
      </w:r>
    </w:p>
    <w:p>
      <w:pPr>
        <w:pStyle w:val="ListBullet"/>
        <w:numPr>
          <w:ilvl w:val="0"/>
          <w:numId w:val="1"/>
        </w:numPr>
      </w:pPr>
      <w:r>
        <w:rPr/>
        <w:t>Those strategies — developed in early life under overwhelming circumstances — become the enneagram type patterns.</w:t>
      </w:r>
    </w:p>
    <w:p>
      <w:pPr>
        <w:pStyle w:val="ListBullet"/>
        <w:numPr>
          <w:ilvl w:val="0"/>
          <w:numId w:val="1"/>
        </w:numPr>
      </w:pPr>
      <w:r>
        <w:rPr/>
        <w:t>The type pattern is not pathology. It is survival intelligence.</w:t>
      </w:r>
    </w:p>
    <w:p>
      <w:pPr>
        <w:pStyle w:val="ListBullet"/>
        <w:numPr>
          <w:ilvl w:val="0"/>
          <w:numId w:val="1"/>
        </w:numPr>
      </w:pPr>
      <w:r>
        <w:rPr/>
        <w:t>Interventions that shift neurochemical ratios can support genuine transformation by giving the nervous system new capacity to process previously unmanageable charge.</w:t>
      </w:r>
    </w:p>
    <w:p>
      <w:pPr>
        <w:pStyle w:val="BodyText"/>
      </w:pPr>
      <w:r>
        <w:rPr/>
        <w:t>In the context of this framework, charge is understood precisely as the degree to which the activation pole of any center is engaged, and the degree to which the system can return to its containment or baseline pole. Type patterns emerge when the movement between poles becomes chronically restricted. Cascade Theory provides independent scientific grounding for this premise — see Section 10.</w:t>
      </w:r>
    </w:p>
    <w:p>
      <w:pPr>
        <w:pStyle w:val="Heading1"/>
      </w:pPr>
      <w:r>
        <w:rPr/>
        <w:t>10. Novel Contribution 1: Cascade Theory and the Enneagram</w:t>
      </w:r>
    </w:p>
    <w:p>
      <w:pPr>
        <w:pStyle w:val="NovelContribution"/>
      </w:pPr>
      <w:r>
        <w:rPr>
          <w:b/>
          <w:bCs/>
          <w:i/>
          <w:iCs/>
        </w:rPr>
        <w:t>NOVEL CONTRIBUTION — No prior connection between Cascade Theory (Teicher et al., 2002) and the enneagram has been found in the course of this framework’s development. This appears to be original theoretical ground.</w:t>
      </w:r>
    </w:p>
    <w:p>
      <w:pPr>
        <w:pStyle w:val="BodyText"/>
      </w:pPr>
      <w:r>
        <w:rPr/>
        <w:t>Cascade Theory independently arrives at a three-system neurobiological architecture that maps structurally onto the enneagram’s Centers of Intelligence. This convergence is genuine, but it operates across two different levels of analysis. Cascade Theory organizes its pillars by biochemical synthesis and systemic origin. This framework organizes personality architecture by behavioral output. These are different organizing principles applied to the same underlying biology.</w:t>
      </w:r>
    </w:p>
    <w:p>
      <w:pPr>
        <w:pStyle w:val="Heading2"/>
      </w:pPr>
      <w:r>
        <w:rPr/>
        <w:t>10.1 The Three-Pillar Functional Decomposition</w:t>
      </w:r>
    </w:p>
    <w:p>
      <w:pPr>
        <w:pStyle w:val="BodyText"/>
      </w:pPr>
      <w:r>
        <w:rPr/>
        <w:t>— Catecholamines → Gut and Head Centers. Cascade Theory treats catecholamines as a unified pillar. This framework splits them across two centers — not because it disagrees with Cascade Theory, but because it is answering a different question. Peripheral catecholamines produce physical mobilization: the Gut Center. Central catecholamines produce attentional and anticipatory processing: the Head Center. This is a functional decomposition, not a contradiction.</w:t>
      </w:r>
    </w:p>
    <w:p>
      <w:pPr>
        <w:pStyle w:val="BodyText"/>
      </w:pPr>
      <w:r>
        <w:rPr/>
        <w:t>— Oxytocin → Heart Center (partial). The correspondence is direct. Oxytocin drives bonding, belonging, and relational orientation — precisely the Heart Center’s primary function. The mapping is partial because this framework assigns testosterone as the Heart Center’s second pole, reflecting the behavioral demands of the Heart Center typology.</w:t>
      </w:r>
    </w:p>
    <w:p>
      <w:pPr>
        <w:pStyle w:val="BodyText"/>
      </w:pPr>
      <w:r>
        <w:rPr/>
        <w:t>— Cortisol → Head Center (with structural clarification). Chronic cortisol elevation drives sustained vigilance and threat anticipation — the neurochemical substrate of Head Center fear. The framework distinguishes between two structural roles cortisol plays: as a background stress condition that initiates oxytocin capacity failure (a collapse trigger), and as a pole chemical that defines a center’s activation spectrum (which it is not). The Heart Center poles are testosterone and oxytocin; cortisol operates upstream of those poles.</w:t>
      </w:r>
    </w:p>
    <w:p>
      <w:pPr>
        <w:pStyle w:val="Heading2"/>
      </w:pPr>
      <w:r>
        <w:rPr/>
        <w:t>10.2 Mutual Dysregulation as Object Relations Grounding</w:t>
      </w:r>
    </w:p>
    <w:p>
      <w:pPr>
        <w:pStyle w:val="BodyText"/>
      </w:pPr>
      <w:r>
        <w:rPr/>
        <w:t>The most significant Cascade Theory finding for this framework is the concept of mutual dysregulation. Mutual regulation between the oxytocin and cortisol systems is a marker of stress resilience, while mutual dysregulation is a marker of PTSD vulnerability (Frijling et al., 2018). The relationship between systems — not the state of any individual system — is the clinical health marker. This is the Object Relations meta-formula stated in clinical neuroscience language. Two independent inquiry systems arrived at the same architectural insight.</w:t>
      </w:r>
    </w:p>
    <w:p>
      <w:pPr>
        <w:pStyle w:val="Heading2"/>
      </w:pPr>
      <w:r>
        <w:rPr/>
        <w:t>10.3 Oxytocin Under Stress: A Heart Center Refinement</w:t>
      </w:r>
    </w:p>
    <w:p>
      <w:pPr>
        <w:pStyle w:val="BodyText"/>
      </w:pPr>
      <w:r>
        <w:rPr/>
        <w:t>Stress does not simply suppress oxytocin. It can also trigger an oxytocin surge as a counter-regulatory response — the tend-and-befriend mechanism. The heart center can be simultaneously activated by stress as a secondary response. Under the testosterone/oxytocin model, this counter-regulatory surge has additional specificity: under acute social threat, some individuals activate the oxytocin pole (seeking bonding and affiliation) while others activate the testosterone pole (defending status and identity). The direction of the counter-regulatory response may itself be a differentiator between heart center types under stress.</w:t>
      </w:r>
    </w:p>
    <w:p>
      <w:pPr>
        <w:pStyle w:val="Heading2"/>
      </w:pPr>
      <w:r>
        <w:rPr/>
        <w:t>10.4 Implications for This Framework</w:t>
      </w:r>
    </w:p>
    <w:p>
      <w:pPr>
        <w:pStyle w:val="ListBullet"/>
        <w:numPr>
          <w:ilvl w:val="0"/>
          <w:numId w:val="1"/>
        </w:numPr>
      </w:pPr>
      <w:r>
        <w:rPr/>
        <w:t>Marion Gilbert’s somatic framework gains independent scientific support: Cascade Theory’s account of how attachment trauma shapes the three stress-response pillars aligns directly with her premise that type patterns are formed through early developmental charge management strategies.</w:t>
      </w:r>
    </w:p>
    <w:p>
      <w:pPr>
        <w:pStyle w:val="ListBullet"/>
        <w:numPr>
          <w:ilvl w:val="0"/>
          <w:numId w:val="1"/>
        </w:numPr>
      </w:pPr>
      <w:r>
        <w:rPr/>
        <w:t>Object Relations as meta-formula gains neurobiological grounding — mutual regulation is already a recognized clinical marker.</w:t>
      </w:r>
    </w:p>
    <w:p>
      <w:pPr>
        <w:pStyle w:val="ListBullet"/>
        <w:numPr>
          <w:ilvl w:val="0"/>
          <w:numId w:val="1"/>
        </w:numPr>
      </w:pPr>
      <w:r>
        <w:rPr/>
        <w:t>The framework moves from speculative to theoretically convergent — two independent systems of inquiry, organized by different principles, arriving at compatible architecture when mapped at the appropriate level of analysis.</w:t>
      </w:r>
    </w:p>
    <w:p>
      <w:pPr>
        <w:pStyle w:val="ListBullet"/>
        <w:numPr>
          <w:ilvl w:val="0"/>
          <w:numId w:val="1"/>
        </w:numPr>
      </w:pPr>
      <w:r>
        <w:rPr/>
        <w:t>A formal literature bridge between Cascade Theory and enneagram research represents a potentially significant contribution to both fields.</w:t>
      </w:r>
    </w:p>
    <w:p>
      <w:pPr>
        <w:pStyle w:val="Heading1"/>
      </w:pPr>
      <w:r>
        <w:rPr/>
        <w:t>11. The Cascade Mechanism: Formalized</w:t>
      </w:r>
    </w:p>
    <w:p>
      <w:pPr>
        <w:pStyle w:val="BodyText"/>
      </w:pPr>
      <w:r>
        <w:rPr/>
        <w:t>The cascade is the central dynamic process of the model. It explains how emotional states amplify, persist, and eventually produce system-level transitions. The process model developed here draws on established emotion regulation science to replace informal description with a mechanistic account.</w:t>
      </w:r>
    </w:p>
    <w:p>
      <w:pPr>
        <w:pStyle w:val="Heading2"/>
      </w:pPr>
      <w:r>
        <w:rPr/>
        <w:t>11.1 The Process Model of Emotion as Foundation</w:t>
      </w:r>
    </w:p>
    <w:p>
      <w:pPr>
        <w:pStyle w:val="BodyText"/>
      </w:pPr>
      <w:r>
        <w:rPr/>
        <w:t>James Gross’s Process Model of Emotion Regulation is the foundational framework. Gross established that emotions unfold through a temporal sequence — situation, attention, appraisal, response — and that regulatory interventions at different stages have different effectiveness profiles and different neural costs. Antecedent-focused regulation (situation selection, attentional deployment, cognitive reappraisal) occurs early and modifies the emotional response before full physiological activation. Response-focused regulation (suppression, behavioral control) occurs after the emotion has been generated and must work against an already-running physiological response.</w:t>
      </w:r>
    </w:p>
    <w:p>
      <w:pPr>
        <w:pStyle w:val="BodyText"/>
      </w:pPr>
      <w:r>
        <w:rPr/>
        <w:t>The cascade in the EBST model is what happens when antecedent regulation fails or is unavailable: the emotional response runs to completion and beyond, entering the feedback loop described below.</w:t>
      </w:r>
    </w:p>
    <w:p>
      <w:pPr>
        <w:pStyle w:val="Citation"/>
      </w:pPr>
      <w:r>
        <w:rPr>
          <w:i/>
          <w:iCs/>
        </w:rPr>
        <w:t>Gross, J.J. (1998). The emerging field of emotion regulation: An integrative review. Review of General Psychology, 2(3), 271-299.</w:t>
      </w:r>
    </w:p>
    <w:p>
      <w:pPr>
        <w:pStyle w:val="Heading2"/>
      </w:pPr>
      <w:r>
        <w:rPr/>
        <w:t>11.2 Perseverative Cognition and the Feedback Loop</w:t>
      </w:r>
    </w:p>
    <w:p>
      <w:pPr>
        <w:pStyle w:val="BodyText"/>
      </w:pPr>
      <w:r>
        <w:rPr/>
        <w:t>The cascade’s amplification mechanism is perseverative cognition — the class of repetitive, self-referential thought that includes rumination, worry, and brooding. Nolen-Hoeksema’s research on rumination established the core mechanism: repetitive passive focus on distress amplifies negative affect, prolongs physiological stress responses, and impairs problem-solving by consuming working memory capacity.</w:t>
      </w:r>
    </w:p>
    <w:p>
      <w:pPr>
        <w:pStyle w:val="BodyText"/>
      </w:pPr>
      <w:r>
        <w:rPr/>
        <w:t>The physiological evidence is direct: ruminative thought prolongs HPA axis activation (sustained cortisol elevation), maintains sympathetic nervous system arousal, and delays cardiovascular recovery from stressors. Brosschot, Gerin, and Thayer’s perseverative cognition hypothesis formalizes this: it is not the acute stressor that produces most of the physiological damage, but the mental representation of the stressor that persists after it has passed. The cascade runs on the representation, not the event.</w:t>
      </w:r>
    </w:p>
    <w:p>
      <w:pPr>
        <w:pStyle w:val="Citation"/>
      </w:pPr>
      <w:r>
        <w:rPr>
          <w:i/>
          <w:iCs/>
        </w:rPr>
        <w:t>Nolen-Hoeksema, S. (1991). Responses to depression and their effects on the duration of depressive episodes. Journal of Abnormal Psychology, 100(4), 569-582.</w:t>
      </w:r>
    </w:p>
    <w:p>
      <w:pPr>
        <w:pStyle w:val="Citation"/>
      </w:pPr>
      <w:r>
        <w:rPr>
          <w:i/>
          <w:iCs/>
        </w:rPr>
        <w:t>Brosschot, J.F., Gerin, W., &amp; Thayer, J.F. (2006). The perseverative cognition hypothesis. Journal of Psychosomatic Research, 60(2), 113-124.</w:t>
      </w:r>
    </w:p>
    <w:p>
      <w:pPr>
        <w:pStyle w:val="Heading2"/>
      </w:pPr>
      <w:r>
        <w:rPr/>
        <w:t>11.3 Attractor States and System-Level Transitions</w:t>
      </w:r>
    </w:p>
    <w:p>
      <w:pPr>
        <w:pStyle w:val="BodyText"/>
      </w:pPr>
      <w:r>
        <w:rPr/>
        <w:t>The cascade model includes the concept of threshold transitions — points at which the system jumps to a qualitatively different state rather than returning to baseline. In dynamical systems terms, emotional states are attractors: stable configurations the system settles into. Under cascade conditions — when perseverative cognition sustains the activation and depletes regulatory resources — the system may shift to a different attractor basin.</w:t>
      </w:r>
    </w:p>
    <w:p>
      <w:pPr>
        <w:pStyle w:val="BodyText"/>
      </w:pPr>
      <w:r>
        <w:rPr/>
        <w:t>Hollenstein’s work on emotional inertia (the tendency of emotional states to persist and resist change) demonstrates that high emotional inertia predicts psychopathology and reduced wellbeing. The stress-point transition in the EBST model is a shift between attractor basins driven by cascade dynamics that have saturated the system’s regulatory capacity.</w:t>
      </w:r>
    </w:p>
    <w:p>
      <w:pPr>
        <w:pStyle w:val="Citation"/>
      </w:pPr>
      <w:r>
        <w:rPr>
          <w:i/>
          <w:iCs/>
        </w:rPr>
        <w:t>Hollenstein, T. (2015). This time, it’s real: Affective flexibility, time, and the dynamics of emotional inertia. Emotion Review, 7(4), 308-315.</w:t>
      </w:r>
    </w:p>
    <w:p>
      <w:pPr>
        <w:pStyle w:val="Citation"/>
      </w:pPr>
      <w:r>
        <w:rPr>
          <w:i/>
          <w:iCs/>
        </w:rPr>
        <w:t>Lewis, M.D. (2005). Bridging emotion theory and neurobiology through dynamic systems modeling. Behavioral and Brain Sciences, 28(2), 169-194.</w:t>
      </w:r>
    </w:p>
    <w:p>
      <w:pPr>
        <w:pStyle w:val="Heading1"/>
      </w:pPr>
      <w:r>
        <w:rPr/>
        <w:t>12. Novel Contribution 2: The Architecture of Nine Types</w:t>
      </w:r>
    </w:p>
    <w:p>
      <w:pPr>
        <w:pStyle w:val="Heading2"/>
      </w:pPr>
      <w:r>
        <w:rPr/>
        <w:t>12.1 Derivation of Nine Stable Configurations</w:t>
      </w:r>
    </w:p>
    <w:p>
      <w:pPr>
        <w:pStyle w:val="BodyText"/>
      </w:pPr>
      <w:r>
        <w:rPr/>
        <w:t>With three neurochemical systems — gut, heart, head — each capable of being dominant (D), balanced (B), or suppressed (S), the theoretical space is 27 possible combinations. Two biologically grounded stability constraints identify nine of these as the most metabolically stable attractor states — configurations the nervous system is drawn toward and can sustain without pathological cost. This is not a claim that the hypothalamus is physically incapable of other configurations. It is a claim about which configurations are stable enough to function as persistent personality types.</w:t>
      </w:r>
    </w:p>
    <w:p>
      <w:pPr>
        <w:pStyle w:val="BodyText"/>
      </w:pPr>
      <w:r>
        <w:rPr/>
        <w:t>Stability Constraint 1: Sustained multi-system dominance is energetically and behaviorally costly. fMRI research by Jack et al. (2013) demonstrated reciprocal inhibition between competing neural networks — social tasks deactivated regions associated with analytical reasoning and vice versa, with anti-correlation present in resting-state data. This establishes that maintaining two systems at simultaneous maximum activation is not a preferred stable state: the dominant network continuously dampens competing networks even at rest. The Central Autonomic Network (CAN) integrates autonomic, emotional, and cognitive processing through shared brainstem structures (Benarroch, 1993). Configurations with a single dominant system require the least sustained regulatory work and represent the lowest-energy stable attractor positions. Evidence classification: CONFIRMED for continuous resting-state reciprocal inhibition between two competing systems. REASONED for extension to strict three-way mutual exclusion.</w:t>
      </w:r>
    </w:p>
    <w:p>
      <w:pPr>
        <w:pStyle w:val="BodyText"/>
      </w:pPr>
      <w:r>
        <w:rPr/>
        <w:t>Stability Constraint 2: Sustained dual active suppression exceeds inhibitory resources. Neural suppression is not the absence of activation — it is an active energetic process requiring continuous GABAergic interneuron firing (Attwell &amp; Laughlin, 2001). Maintaining two systems in simultaneous active suppression while sustaining one dominant system requires double the inhibitory resource load. The chronic stress literature characterizes this state as burnout or breakdown — a pathological endpoint rather than a stable personality configuration. This does not mean dual suppression is neurologically impossible; it means it cannot be sustained as a stable resting personality type. Evidence classification: CONFIRMED for active suppression metabolic cost. REASONED for dual-suppression instability as breakdown state rather than personality configuration.</w:t>
      </w:r>
    </w:p>
    <w:p>
      <w:pPr>
        <w:pStyle w:val="BodyText"/>
      </w:pPr>
      <w:r>
        <w:rPr/>
        <w:t>Together, these two constraints identify nine configurations as the most stable attractor states in neurochemical space — positions the system settles into and can maintain over developmental time. The number nine is not imported from the enneagram. It emerges from the intersection of three systems with three possible states each, filtered by two stability constraints.</w:t>
      </w:r>
    </w:p>
    <w:p>
      <w:pPr>
        <w:pStyle w:val="BodyText"/>
      </w:pPr>
      <w:r>
        <w:rPr/>
        <w:t>The nine configurations fall into two structural types:</w:t>
      </w:r>
    </w:p>
    <w:p>
      <w:pPr>
        <w:pStyle w:val="ListBullet"/>
        <w:numPr>
          <w:ilvl w:val="0"/>
          <w:numId w:val="1"/>
        </w:numPr>
      </w:pPr>
      <w:r>
        <w:rPr/>
        <w:t>Type A — 1 Dominant, 1 Balanced, 1 Suppressed: one system floods, one is actively dampened, one is at homeostatic baseline. Six possible configurations.</w:t>
      </w:r>
    </w:p>
    <w:p>
      <w:pPr>
        <w:pStyle w:val="ListBullet"/>
        <w:numPr>
          <w:ilvl w:val="0"/>
          <w:numId w:val="1"/>
        </w:numPr>
      </w:pPr>
      <w:r>
        <w:rPr/>
        <w:t>Type B — 1 Dominant, 2 Balanced: one system floods, the other two remain at homeostatic baseline. Three possible configurations.</w:t>
      </w:r>
    </w:p>
    <w:p>
      <w:pPr>
        <w:pStyle w:val="Heading2"/>
      </w:pPr>
      <w:r>
        <w:rPr/>
        <w:t>12.2 The Nine Configuration Map</w:t>
      </w:r>
    </w:p>
    <w:p>
      <w:pPr>
        <w:pStyle w:val="BodyText"/>
        <w:spacing w:before="0" w:after="80"/>
      </w:pPr>
      <w:r>
        <w:rPr/>
        <w:t/>
      </w:r>
    </w:p>
    <w:tbl>
      <w:tblPr>
        <w:tblW w:w="9360" w:type="dxa"/>
        <w:tblLayout w:type="fixed"/>
      </w:tblPr>
      <w:tr>
        <w:tc>
          <w:tcPr>
            <w:tcW w:w="560" w:type="dxa"/>
            <w:shd w:val="clear" w:color="auto" w:fill="2E5090"/>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color w:val="FFFFFF"/>
                <w:sz w:val="18"/>
                <w:szCs w:val="18"/>
              </w:rPr>
              <w:t>Type</w:t>
            </w:r>
          </w:p>
        </w:tc>
        <w:tc>
          <w:tcPr>
            <w:tcW w:w="1000" w:type="dxa"/>
            <w:shd w:val="clear" w:color="auto" w:fill="2E5090"/>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color w:val="FFFFFF"/>
                <w:sz w:val="18"/>
                <w:szCs w:val="18"/>
              </w:rPr>
              <w:t>Config</w:t>
            </w:r>
          </w:p>
        </w:tc>
        <w:tc>
          <w:tcPr>
            <w:tcW w:w="2200" w:type="dxa"/>
            <w:shd w:val="clear" w:color="auto" w:fill="2E5090"/>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color w:val="FFFFFF"/>
                <w:sz w:val="18"/>
                <w:szCs w:val="18"/>
              </w:rPr>
              <w:t>Description</w:t>
            </w:r>
          </w:p>
        </w:tc>
        <w:tc>
          <w:tcPr>
            <w:tcW w:w="1500" w:type="dxa"/>
            <w:shd w:val="clear" w:color="auto" w:fill="2E5090"/>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color w:val="FFFFFF"/>
                <w:sz w:val="18"/>
                <w:szCs w:val="18"/>
              </w:rPr>
              <w:t>Category</w:t>
            </w:r>
          </w:p>
        </w:tc>
        <w:tc>
          <w:tcPr>
            <w:tcW w:w="4100" w:type="dxa"/>
            <w:shd w:val="clear" w:color="auto" w:fill="2E5090"/>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color w:val="FFFFFF"/>
                <w:sz w:val="18"/>
                <w:szCs w:val="18"/>
              </w:rPr>
              <w:t>Notes</w:t>
            </w:r>
          </w:p>
        </w:tc>
      </w:tr>
      <w:tr>
        <w:tc>
          <w:tcPr>
            <w:tcW w:w="5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8</w:t>
            </w:r>
          </w:p>
        </w:tc>
        <w:tc>
          <w:tcPr>
            <w:tcW w:w="10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D/B/B</w:t>
            </w:r>
          </w:p>
        </w:tc>
        <w:tc>
          <w:tcPr>
            <w:tcW w:w="22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Gut dominant, heart and head balanced</w:t>
            </w:r>
          </w:p>
        </w:tc>
        <w:tc>
          <w:tcPr>
            <w:tcW w:w="15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Type B — pure activation, no active suppression</w:t>
            </w:r>
          </w:p>
        </w:tc>
        <w:tc>
          <w:tcPr>
            <w:tcW w:w="41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No suppressor at rest; gut activation floods outward</w:t>
            </w:r>
          </w:p>
        </w:tc>
      </w:tr>
      <w:tr>
        <w:tc>
          <w:tcPr>
            <w:tcW w:w="5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9</w:t>
            </w:r>
          </w:p>
        </w:tc>
        <w:tc>
          <w:tcPr>
            <w:tcW w:w="10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S/B/B</w:t>
            </w:r>
          </w:p>
        </w:tc>
        <w:tc>
          <w:tcPr>
            <w:tcW w:w="22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Gut suppressed, heart and head balanced</w:t>
            </w:r>
          </w:p>
        </w:tc>
        <w:tc>
          <w:tcPr>
            <w:tcW w:w="15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Type B — containment held, no competing dominant</w:t>
            </w:r>
          </w:p>
        </w:tc>
        <w:tc>
          <w:tcPr>
            <w:tcW w:w="41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GABA actively gates sympathetic activation</w:t>
            </w:r>
          </w:p>
        </w:tc>
      </w:tr>
      <w:tr>
        <w:tc>
          <w:tcPr>
            <w:tcW w:w="5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1</w:t>
            </w:r>
          </w:p>
        </w:tc>
        <w:tc>
          <w:tcPr>
            <w:tcW w:w="10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D/S/B</w:t>
            </w:r>
          </w:p>
        </w:tc>
        <w:tc>
          <w:tcPr>
            <w:tcW w:w="22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Gut dominant, heart suppressed, head balanced</w:t>
            </w:r>
          </w:p>
        </w:tc>
        <w:tc>
          <w:tcPr>
            <w:tcW w:w="15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Type A — gut floods, heart actively dampened</w:t>
            </w:r>
          </w:p>
        </w:tc>
        <w:tc>
          <w:tcPr>
            <w:tcW w:w="41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PFC top-down control channels gut activation</w:t>
            </w:r>
          </w:p>
        </w:tc>
      </w:tr>
      <w:tr>
        <w:tc>
          <w:tcPr>
            <w:tcW w:w="5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2</w:t>
            </w:r>
          </w:p>
        </w:tc>
        <w:tc>
          <w:tcPr>
            <w:tcW w:w="10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B/D/B</w:t>
            </w:r>
          </w:p>
        </w:tc>
        <w:tc>
          <w:tcPr>
            <w:tcW w:w="22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Heart dominant, gut and head balanced</w:t>
            </w:r>
          </w:p>
        </w:tc>
        <w:tc>
          <w:tcPr>
            <w:tcW w:w="15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Type B — pure bonding activation</w:t>
            </w:r>
          </w:p>
        </w:tc>
        <w:tc>
          <w:tcPr>
            <w:tcW w:w="41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Oxytocin dominant; no active suppression</w:t>
            </w:r>
          </w:p>
        </w:tc>
      </w:tr>
      <w:tr>
        <w:tc>
          <w:tcPr>
            <w:tcW w:w="5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3</w:t>
            </w:r>
          </w:p>
        </w:tc>
        <w:tc>
          <w:tcPr>
            <w:tcW w:w="10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S/D/B</w:t>
            </w:r>
          </w:p>
        </w:tc>
        <w:tc>
          <w:tcPr>
            <w:tcW w:w="22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Gut suppressed, heart dominant, head balanced</w:t>
            </w:r>
          </w:p>
        </w:tc>
        <w:tc>
          <w:tcPr>
            <w:tcW w:w="15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Type A — heart floods, gut actively suppressed</w:t>
            </w:r>
          </w:p>
        </w:tc>
        <w:tc>
          <w:tcPr>
            <w:tcW w:w="41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Testosterone-anchored heart dominance; gut suppressed</w:t>
            </w:r>
          </w:p>
        </w:tc>
      </w:tr>
      <w:tr>
        <w:tc>
          <w:tcPr>
            <w:tcW w:w="5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4</w:t>
            </w:r>
          </w:p>
        </w:tc>
        <w:tc>
          <w:tcPr>
            <w:tcW w:w="10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B/D/S</w:t>
            </w:r>
          </w:p>
        </w:tc>
        <w:tc>
          <w:tcPr>
            <w:tcW w:w="22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Heart dominant, gut balanced, head suppressed</w:t>
            </w:r>
          </w:p>
        </w:tc>
        <w:tc>
          <w:tcPr>
            <w:tcW w:w="15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Type A — heart floods, head actively dampened</w:t>
            </w:r>
          </w:p>
        </w:tc>
        <w:tc>
          <w:tcPr>
            <w:tcW w:w="41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Oscillates between oxytocin and testosterone poles</w:t>
            </w:r>
          </w:p>
        </w:tc>
      </w:tr>
      <w:tr>
        <w:tc>
          <w:tcPr>
            <w:tcW w:w="5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5</w:t>
            </w:r>
          </w:p>
        </w:tc>
        <w:tc>
          <w:tcPr>
            <w:tcW w:w="10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B/B/D</w:t>
            </w:r>
          </w:p>
        </w:tc>
        <w:tc>
          <w:tcPr>
            <w:tcW w:w="22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Head dominant, gut and heart balanced</w:t>
            </w:r>
          </w:p>
        </w:tc>
        <w:tc>
          <w:tcPr>
            <w:tcW w:w="15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Type B — pure reflective activation</w:t>
            </w:r>
          </w:p>
        </w:tc>
        <w:tc>
          <w:tcPr>
            <w:tcW w:w="41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Dopamine-PFC sustained; acetylcholine-mediated withdrawal</w:t>
            </w:r>
          </w:p>
        </w:tc>
      </w:tr>
      <w:tr>
        <w:tc>
          <w:tcPr>
            <w:tcW w:w="5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6</w:t>
            </w:r>
          </w:p>
        </w:tc>
        <w:tc>
          <w:tcPr>
            <w:tcW w:w="10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B/S/D</w:t>
            </w:r>
          </w:p>
        </w:tc>
        <w:tc>
          <w:tcPr>
            <w:tcW w:w="22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Head dominant, heart suppressed, gut balanced</w:t>
            </w:r>
          </w:p>
        </w:tc>
        <w:tc>
          <w:tcPr>
            <w:tcW w:w="15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Type A — head floods, heart actively dampened</w:t>
            </w:r>
          </w:p>
        </w:tc>
        <w:tc>
          <w:tcPr>
            <w:tcW w:w="41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Norepinephrine vigilance; bonding system dampened</w:t>
            </w:r>
          </w:p>
        </w:tc>
      </w:tr>
      <w:tr>
        <w:tc>
          <w:tcPr>
            <w:tcW w:w="5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7</w:t>
            </w:r>
          </w:p>
        </w:tc>
        <w:tc>
          <w:tcPr>
            <w:tcW w:w="10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S/B/D</w:t>
            </w:r>
          </w:p>
        </w:tc>
        <w:tc>
          <w:tcPr>
            <w:tcW w:w="22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Gut suppressed, head dominant, heart balanced</w:t>
            </w:r>
          </w:p>
        </w:tc>
        <w:tc>
          <w:tcPr>
            <w:tcW w:w="15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Type A — head floods, gut actively suppressed</w:t>
            </w:r>
          </w:p>
        </w:tc>
        <w:tc>
          <w:tcPr>
            <w:tcW w:w="41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Dopamine forward momentum suppresses gut anxiety</w:t>
            </w:r>
          </w:p>
        </w:tc>
      </w:tr>
    </w:tbl>
    <w:p>
      <w:pPr>
        <w:pStyle w:val="BodyText"/>
        <w:spacing w:before="0" w:after="80"/>
      </w:pPr>
      <w:r>
        <w:rPr/>
        <w:t/>
      </w:r>
    </w:p>
    <w:p>
      <w:pPr>
        <w:pStyle w:val="Heading2"/>
      </w:pPr>
      <w:r>
        <w:rPr/>
        <w:t>12.3 Type B Configuration Stability Mechanism</w:t>
      </w:r>
    </w:p>
    <w:p>
      <w:pPr>
        <w:pStyle w:val="BodyText"/>
      </w:pPr>
      <w:r>
        <w:rPr/>
        <w:t>Type B configurations — one dominant, two balanced — initially appear less stable than Type A configurations. The question is: what prevents the two balanced systems from drifting toward activation and competing with the dominant system? The answer is provided by resting-state fMRI research. Jack et al. (2013) established that reciprocal inhibition between competing neural networks operates continuously at rest. The dominant network exerts inhibitory influence over non-dominant networks even in the absence of external demand. Both Type A and Type B are actively maintained states; the difference is one of degree, not kind.</w:t>
      </w:r>
    </w:p>
    <w:p>
      <w:pPr>
        <w:pStyle w:val="BodyText"/>
      </w:pPr>
      <w:r>
        <w:rPr/>
        <w:t>An additional finding: the average dwell time of network dominance — how long a person remains in a given dominant network state before transitioning — is a measurable neurological variable associated with self-reported anxiety and personality traits (Wang et al., 2020). This suggests configuration stability itself may be a measurable individual difference, potentially offering a neurological correlate of type robustness under stress.</w:t>
      </w:r>
    </w:p>
    <w:p>
      <w:pPr>
        <w:pStyle w:val="Heading2"/>
      </w:pPr>
      <w:r>
        <w:rPr/>
        <w:t>12.4 Wings as Fine Granularity</w:t>
      </w:r>
    </w:p>
    <w:p>
      <w:pPr>
        <w:pStyle w:val="BodyText"/>
      </w:pPr>
      <w:r>
        <w:rPr/>
        <w:t>Each type has two adjacent types — its wings — representing the nearest viable equilibrium positions in the configuration space. Wings expand the nine positions into twenty-seven subtypes. The wing determination mechanism operates through allostatic calibration and Hebbian entrainment: circuits that fire together wire together. When environmental conditions repeatedly co-activate a specific combination of emotional systems during development, the synaptic connections between those systems are strengthened. Over developmental time, the co-activation becomes a stable circuit configuration.</w:t>
      </w:r>
    </w:p>
    <w:p>
      <w:pPr>
        <w:pStyle w:val="BodyText"/>
      </w:pPr>
      <w:r>
        <w:rPr/>
        <w:t>Cloninger’s TCI provides the neurochemical bridge for this mechanism. Wing differences (e.g., 6w5 vs. 6w7) correspond to differences in secondary temperament dimension scores — specifically Novelty Seeking — on the TCI: a 6w5 reflects entrainment of the noradrenergic/serotonergic complex with dopamine-dampened Novelty Seeking circuitry; a 6w7 reflects entrainment with dopamine-activated BAS circuitry. This is a directly testable prediction.</w:t>
      </w:r>
    </w:p>
    <w:p>
      <w:pPr>
        <w:pStyle w:val="Citation"/>
      </w:pPr>
      <w:r>
        <w:rPr>
          <w:i/>
          <w:iCs/>
        </w:rPr>
        <w:t>Cloninger, C.R., Svrakic, D.M., &amp; Przybeck, T.R. (1993). A psychobiological model of temperament and character. Archives of General Psychiatry, 50(12), 975-990.</w:t>
      </w:r>
    </w:p>
    <w:p>
      <w:pPr>
        <w:pStyle w:val="Citation"/>
      </w:pPr>
      <w:r>
        <w:rPr>
          <w:i/>
          <w:iCs/>
        </w:rPr>
        <w:t>Hebb, D.O. (1949). The Organization of Behavior. Wiley.</w:t>
      </w:r>
    </w:p>
    <w:p>
      <w:pPr>
        <w:pStyle w:val="Heading1"/>
      </w:pPr>
      <w:r>
        <w:rPr/>
        <w:t>13. Novel Contribution 3: Configuration Collapse and Nine-for-Nine Convergent Prediction</w:t>
      </w:r>
    </w:p>
    <w:p>
      <w:pPr>
        <w:pStyle w:val="NovelContribution"/>
      </w:pPr>
      <w:r>
        <w:rPr>
          <w:b/>
          <w:bCs/>
          <w:i/>
          <w:iCs/>
        </w:rPr>
        <w:t>NOVEL CONTRIBUTION — The framework derives predictions of stress behavior from neurochemical collapse logic, without importing the enneagram’s stress point system as an input. After resolving six initial mismatches through biological investigation, the framework achieves a nine-for-nine correspondence with the established enneagram stress point system.</w:t>
      </w:r>
    </w:p>
    <w:p>
      <w:pPr>
        <w:pStyle w:val="Heading2"/>
      </w:pPr>
      <w:r>
        <w:rPr/>
        <w:t>13.1 The Collapse Mechanism</w:t>
      </w:r>
    </w:p>
    <w:p>
      <w:pPr>
        <w:pStyle w:val="BodyText"/>
      </w:pPr>
      <w:r>
        <w:rPr/>
        <w:t>Under sufficient stress, a type’s primary regulatory mechanism fails. The system moves to the nearest stable configuration — the configuration requiring the least chemical reorganization. This is the behavioral shift the enneagram describes as the stress point. The mechanism was first derived for Type 9: GABA depletion under stress releases suppressed gut activation suddenly, producing Type 8 behavior. This prediction was built from GABA physiology alone, then compared to the enneagram’s established stress point. The match was independent.</w:t>
      </w:r>
    </w:p>
    <w:p>
      <w:pPr>
        <w:pStyle w:val="Heading2"/>
      </w:pPr>
      <w:r>
        <w:rPr/>
        <w:t>13.2 Addressing the Retrofitting Problem</w:t>
      </w:r>
    </w:p>
    <w:p>
      <w:pPr>
        <w:pStyle w:val="BodyText"/>
      </w:pPr>
      <w:r>
        <w:rPr/>
        <w:t>A critical review raised the valid concern that a theorist who already knows the stress point system cannot credibly claim independent derivation. This concern was addressed by applying the collapse logic to all nine types and documenting results honestly. Six of nine initial predictions did not match the established enneagram stress points. Those mismatches were then investigated mechanistically — building each prediction from biology upward. The six initial mismatches, not the three initial matches, are the strongest evidence that the framework is doing genuine independent work.</w:t>
      </w:r>
    </w:p>
    <w:p>
      <w:pPr>
        <w:pStyle w:val="Heading2"/>
      </w:pPr>
      <w:r>
        <w:rPr/>
        <w:t>13.3 Resolution: The PFC Release Effect</w:t>
      </w:r>
    </w:p>
    <w:p>
      <w:pPr>
        <w:pStyle w:val="BodyText"/>
      </w:pPr>
      <w:r>
        <w:rPr/>
        <w:t>Deeper biological investigation resolved all six mismatches. The key mechanism was the PFC release effect: when the prefrontal cortex fails under catecholamine overload, it does not only disable head center processing — it releases whatever system was being held down by top-down cortical regulation. This mechanism resolved Types 1 and 6, whose suppression is cortically maintained and releases when PFC fails. Type 8 operates through a distinct but equally grounded mechanism — cortisol-mediated oxytocin suppression — in which the D/B/B configuration’s lack of pre-existing suppression means no release is possible; instead, rising cortisol actively creates new heart suppression. The collapse logic for Types 3 and 4 was also refined through this investigation.</w:t>
      </w:r>
    </w:p>
    <w:p>
      <w:pPr>
        <w:pStyle w:val="Heading2"/>
      </w:pPr>
      <w:r>
        <w:rPr/>
        <w:t>13.4 Complete Nine-Type Prediction and Verification Table</w:t>
      </w:r>
    </w:p>
    <w:p>
      <w:pPr>
        <w:pStyle w:val="BodyText"/>
        <w:spacing w:before="0" w:after="80"/>
      </w:pPr>
      <w:r>
        <w:rPr/>
        <w:t/>
      </w:r>
    </w:p>
    <w:tbl>
      <w:tblPr>
        <w:tblW w:w="9360" w:type="dxa"/>
        <w:tblLayout w:type="fixed"/>
      </w:tblPr>
      <w:tr>
        <w:tc>
          <w:tcPr>
            <w:tcW w:w="480" w:type="dxa"/>
            <w:shd w:val="clear" w:color="auto" w:fill="2E5090"/>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color w:val="FFFFFF"/>
                <w:sz w:val="18"/>
                <w:szCs w:val="18"/>
              </w:rPr>
              <w:t>Type</w:t>
            </w:r>
          </w:p>
        </w:tc>
        <w:tc>
          <w:tcPr>
            <w:tcW w:w="760" w:type="dxa"/>
            <w:shd w:val="clear" w:color="auto" w:fill="2E5090"/>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color w:val="FFFFFF"/>
                <w:sz w:val="18"/>
                <w:szCs w:val="18"/>
              </w:rPr>
              <w:t>Config</w:t>
            </w:r>
          </w:p>
        </w:tc>
        <w:tc>
          <w:tcPr>
            <w:tcW w:w="1600" w:type="dxa"/>
            <w:shd w:val="clear" w:color="auto" w:fill="2E5090"/>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color w:val="FFFFFF"/>
                <w:sz w:val="18"/>
                <w:szCs w:val="18"/>
              </w:rPr>
              <w:t>Regulatory Mechanism</w:t>
            </w:r>
          </w:p>
        </w:tc>
        <w:tc>
          <w:tcPr>
            <w:tcW w:w="1600" w:type="dxa"/>
            <w:shd w:val="clear" w:color="auto" w:fill="2E5090"/>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color w:val="FFFFFF"/>
                <w:sz w:val="18"/>
                <w:szCs w:val="18"/>
              </w:rPr>
              <w:t>Overwhelm Condition</w:t>
            </w:r>
          </w:p>
        </w:tc>
        <w:tc>
          <w:tcPr>
            <w:tcW w:w="1120" w:type="dxa"/>
            <w:shd w:val="clear" w:color="auto" w:fill="2E5090"/>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color w:val="FFFFFF"/>
                <w:sz w:val="18"/>
                <w:szCs w:val="18"/>
              </w:rPr>
              <w:t>Collapse</w:t>
            </w:r>
          </w:p>
        </w:tc>
        <w:tc>
          <w:tcPr>
            <w:tcW w:w="1480" w:type="dxa"/>
            <w:shd w:val="clear" w:color="auto" w:fill="2E5090"/>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color w:val="FFFFFF"/>
                <w:sz w:val="18"/>
                <w:szCs w:val="18"/>
              </w:rPr>
              <w:t>Stress Point</w:t>
            </w:r>
          </w:p>
        </w:tc>
        <w:tc>
          <w:tcPr>
            <w:tcW w:w="720" w:type="dxa"/>
            <w:shd w:val="clear" w:color="auto" w:fill="2E5090"/>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color w:val="FFFFFF"/>
                <w:sz w:val="18"/>
                <w:szCs w:val="18"/>
              </w:rPr>
              <w:t>Match</w:t>
            </w:r>
          </w:p>
        </w:tc>
      </w:tr>
      <w:tr>
        <w:tc>
          <w:tcPr>
            <w:tcW w:w="48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8</w:t>
            </w:r>
          </w:p>
        </w:tc>
        <w:tc>
          <w:tcPr>
            <w:tcW w:w="7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D/B/B</w:t>
            </w:r>
          </w:p>
        </w:tc>
        <w:tc>
          <w:tcPr>
            <w:tcW w:w="16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No active suppressor at rest — gut activation floods outward. Maintained by continuous reciprocal inhibition of heart and head.</w:t>
            </w:r>
          </w:p>
        </w:tc>
        <w:tc>
          <w:tcPr>
            <w:tcW w:w="16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Cortisol rise suppresses oxytocin; sustained defeat drives catecholamine excess beyond PFC optimal range; PFC goes offline; system withdraws inward.</w:t>
            </w:r>
          </w:p>
        </w:tc>
        <w:tc>
          <w:tcPr>
            <w:tcW w:w="112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Type 1 (D/S/B)</w:t>
            </w:r>
          </w:p>
        </w:tc>
        <w:tc>
          <w:tcPr>
            <w:tcW w:w="148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Type 1</w:t>
            </w:r>
          </w:p>
        </w:tc>
        <w:tc>
          <w:tcPr>
            <w:tcW w:w="72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w:t>
            </w:r>
          </w:p>
        </w:tc>
      </w:tr>
      <w:tr>
        <w:tc>
          <w:tcPr>
            <w:tcW w:w="48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9</w:t>
            </w:r>
          </w:p>
        </w:tc>
        <w:tc>
          <w:tcPr>
            <w:tcW w:w="7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S/B/B</w:t>
            </w:r>
          </w:p>
        </w:tc>
        <w:tc>
          <w:tcPr>
            <w:tcW w:w="16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GABA actively gates sympathetic activation — gut held below surface by elevated GABAergic parasympathetic tone.</w:t>
            </w:r>
          </w:p>
        </w:tc>
        <w:tc>
          <w:tcPr>
            <w:tcW w:w="16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GABA depletion under chronic or acute stress. Suppression mechanism fails; gut activation floods without the gradual ramp-up other types experience.</w:t>
            </w:r>
          </w:p>
        </w:tc>
        <w:tc>
          <w:tcPr>
            <w:tcW w:w="112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Type 8 (D/B/B)</w:t>
            </w:r>
          </w:p>
        </w:tc>
        <w:tc>
          <w:tcPr>
            <w:tcW w:w="148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Type 8</w:t>
            </w:r>
          </w:p>
        </w:tc>
        <w:tc>
          <w:tcPr>
            <w:tcW w:w="72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w:t>
            </w:r>
          </w:p>
        </w:tc>
      </w:tr>
      <w:tr>
        <w:tc>
          <w:tcPr>
            <w:tcW w:w="48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1</w:t>
            </w:r>
          </w:p>
        </w:tc>
        <w:tc>
          <w:tcPr>
            <w:tcW w:w="7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D/S/B</w:t>
            </w:r>
          </w:p>
        </w:tc>
        <w:tc>
          <w:tcPr>
            <w:tcW w:w="16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Top-down PFC control channels gut activation into principled behavior. Heart suppression maintained by cortical regulation.</w:t>
            </w:r>
          </w:p>
        </w:tc>
        <w:tc>
          <w:tcPr>
            <w:tcW w:w="16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Cortisol load overwhelms PFC; top-down regulation fails; heart suppression releases. System shifts from principled gut activation to heart-dominant emotional overwhelm.</w:t>
            </w:r>
          </w:p>
        </w:tc>
        <w:tc>
          <w:tcPr>
            <w:tcW w:w="112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Type 4 (B/D/S)</w:t>
            </w:r>
          </w:p>
        </w:tc>
        <w:tc>
          <w:tcPr>
            <w:tcW w:w="148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Type 4</w:t>
            </w:r>
          </w:p>
        </w:tc>
        <w:tc>
          <w:tcPr>
            <w:tcW w:w="72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w:t>
            </w:r>
          </w:p>
        </w:tc>
      </w:tr>
      <w:tr>
        <w:tc>
          <w:tcPr>
            <w:tcW w:w="48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2</w:t>
            </w:r>
          </w:p>
        </w:tc>
        <w:tc>
          <w:tcPr>
            <w:tcW w:w="7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B/D/B</w:t>
            </w:r>
          </w:p>
        </w:tc>
        <w:tc>
          <w:tcPr>
            <w:tcW w:w="16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Oxytocin counter-regulates cortisol — the bonding system actively suppresses the stress response.</w:t>
            </w:r>
          </w:p>
        </w:tc>
        <w:tc>
          <w:tcPr>
            <w:tcW w:w="16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Sustained unmet relational need drives cortisol beyond oxytocin's suppressive capacity. Oxytocin capacity failure.</w:t>
            </w:r>
          </w:p>
        </w:tc>
        <w:tc>
          <w:tcPr>
            <w:tcW w:w="112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Type 8 (D/B/B)</w:t>
            </w:r>
          </w:p>
        </w:tc>
        <w:tc>
          <w:tcPr>
            <w:tcW w:w="148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Type 8</w:t>
            </w:r>
          </w:p>
        </w:tc>
        <w:tc>
          <w:tcPr>
            <w:tcW w:w="72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w:t>
            </w:r>
          </w:p>
        </w:tc>
      </w:tr>
      <w:tr>
        <w:tc>
          <w:tcPr>
            <w:tcW w:w="48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3</w:t>
            </w:r>
          </w:p>
        </w:tc>
        <w:tc>
          <w:tcPr>
            <w:tcW w:w="7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S/D/B</w:t>
            </w:r>
          </w:p>
        </w:tc>
        <w:tc>
          <w:tcPr>
            <w:tcW w:w="16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Testosterone-driven status maintenance anchors heart dominance. Achievement channels energy away from gut.</w:t>
            </w:r>
          </w:p>
        </w:tc>
        <w:tc>
          <w:tcPr>
            <w:tcW w:w="16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Sustained social defeat depletes testosterone. Heart dominance loses its chemical anchor.</w:t>
            </w:r>
          </w:p>
        </w:tc>
        <w:tc>
          <w:tcPr>
            <w:tcW w:w="112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Type 9 (S/B/B)</w:t>
            </w:r>
          </w:p>
        </w:tc>
        <w:tc>
          <w:tcPr>
            <w:tcW w:w="148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Type 9</w:t>
            </w:r>
          </w:p>
        </w:tc>
        <w:tc>
          <w:tcPr>
            <w:tcW w:w="72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w:t>
            </w:r>
          </w:p>
        </w:tc>
      </w:tr>
      <w:tr>
        <w:tc>
          <w:tcPr>
            <w:tcW w:w="48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4</w:t>
            </w:r>
          </w:p>
        </w:tc>
        <w:tc>
          <w:tcPr>
            <w:tcW w:w="7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B/D/S</w:t>
            </w:r>
          </w:p>
        </w:tc>
        <w:tc>
          <w:tcPr>
            <w:tcW w:w="16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Oxytocin/testosterone oscillation within dominant heart center. Head suppression maintained by heart's emotional intensity monopolizing regulatory resources.</w:t>
            </w:r>
          </w:p>
        </w:tc>
        <w:tc>
          <w:tcPr>
            <w:tcW w:w="16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Identity threat drives both poles simultaneously — oxytocin and testosterone can co-elevate without resolution (Jaeggi et al., 2015). No head-center cortical regulation available.</w:t>
            </w:r>
          </w:p>
        </w:tc>
        <w:tc>
          <w:tcPr>
            <w:tcW w:w="112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Type 2 (B/D/B)</w:t>
            </w:r>
          </w:p>
        </w:tc>
        <w:tc>
          <w:tcPr>
            <w:tcW w:w="148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Type 2</w:t>
            </w:r>
          </w:p>
        </w:tc>
        <w:tc>
          <w:tcPr>
            <w:tcW w:w="72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w:t>
            </w:r>
          </w:p>
        </w:tc>
      </w:tr>
      <w:tr>
        <w:tc>
          <w:tcPr>
            <w:tcW w:w="48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5</w:t>
            </w:r>
          </w:p>
        </w:tc>
        <w:tc>
          <w:tcPr>
            <w:tcW w:w="7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B/B/D</w:t>
            </w:r>
          </w:p>
        </w:tc>
        <w:tc>
          <w:tcPr>
            <w:tcW w:w="16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Dopamine-driven PFC sustains reflective processing and intellectual distance.</w:t>
            </w:r>
          </w:p>
        </w:tc>
        <w:tc>
          <w:tcPr>
            <w:tcW w:w="16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Acute uncontrollable stress floods catecholamines; PFC levels exceed optimal inverted-U range; PFC goes offline; dopamine depletes.</w:t>
            </w:r>
          </w:p>
        </w:tc>
        <w:tc>
          <w:tcPr>
            <w:tcW w:w="112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Type 7 (S/B/D)</w:t>
            </w:r>
          </w:p>
        </w:tc>
        <w:tc>
          <w:tcPr>
            <w:tcW w:w="148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Type 7</w:t>
            </w:r>
          </w:p>
        </w:tc>
        <w:tc>
          <w:tcPr>
            <w:tcW w:w="72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w:t>
            </w:r>
          </w:p>
        </w:tc>
      </w:tr>
      <w:tr>
        <w:tc>
          <w:tcPr>
            <w:tcW w:w="48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6</w:t>
            </w:r>
          </w:p>
        </w:tc>
        <w:tc>
          <w:tcPr>
            <w:tcW w:w="7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B/S/D</w:t>
            </w:r>
          </w:p>
        </w:tc>
        <w:tc>
          <w:tcPr>
            <w:tcW w:w="16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Norepinephrine vigilance scans continuously for threat. Heart suppression maintained by head dominance.</w:t>
            </w:r>
          </w:p>
        </w:tc>
        <w:tc>
          <w:tcPr>
            <w:tcW w:w="16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Threat confirmed uncontrollable; catecholamines exceed PFC optimal range; PFC goes offline; releases heart suppression. Prior to PFC failure, NE depletes in LC under inescapable stress conditions, suppressing gut action circuitry (Weiss, 1980; Li et al., 2024). B19, B20. Subcortical dopamine remains functionally active during PFC failure (Arnsten, 2009), driving performance-oriented heart activation.</w:t>
            </w:r>
          </w:p>
        </w:tc>
        <w:tc>
          <w:tcPr>
            <w:tcW w:w="112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Type 3 (S/D/B)</w:t>
            </w:r>
          </w:p>
        </w:tc>
        <w:tc>
          <w:tcPr>
            <w:tcW w:w="148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Type 3</w:t>
            </w:r>
          </w:p>
        </w:tc>
        <w:tc>
          <w:tcPr>
            <w:tcW w:w="72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w:t>
            </w:r>
          </w:p>
        </w:tc>
      </w:tr>
      <w:tr>
        <w:tc>
          <w:tcPr>
            <w:tcW w:w="48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7</w:t>
            </w:r>
          </w:p>
        </w:tc>
        <w:tc>
          <w:tcPr>
            <w:tcW w:w="7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S/B/D</w:t>
            </w:r>
          </w:p>
        </w:tc>
        <w:tc>
          <w:tcPr>
            <w:tcW w:w="16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Dopamine anticipation sustains forward momentum — future-focus actively suppresses gut anxiety.</w:t>
            </w:r>
          </w:p>
        </w:tc>
        <w:tc>
          <w:tcPr>
            <w:tcW w:w="16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Chronic stress depletes dopamine; future-orientation loses its chemical fuel; gut suppression releases as dopamine falls below maintenance threshold. Gut center breaks through.</w:t>
            </w:r>
          </w:p>
        </w:tc>
        <w:tc>
          <w:tcPr>
            <w:tcW w:w="112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Type 1 (D/S/B)</w:t>
            </w:r>
          </w:p>
        </w:tc>
        <w:tc>
          <w:tcPr>
            <w:tcW w:w="148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Type 1</w:t>
            </w:r>
          </w:p>
        </w:tc>
        <w:tc>
          <w:tcPr>
            <w:tcW w:w="72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w:t>
            </w:r>
          </w:p>
        </w:tc>
      </w:tr>
    </w:tbl>
    <w:p>
      <w:pPr>
        <w:pStyle w:val="BodyText"/>
        <w:spacing w:before="0" w:after="80"/>
      </w:pPr>
      <w:r>
        <w:rPr/>
        <w:t/>
      </w:r>
    </w:p>
    <w:p>
      <w:pPr>
        <w:pStyle w:val="Heading2"/>
      </w:pPr>
      <w:r>
        <w:rPr/>
        <w:t>13.5 Security Point Derivation: The Inverse Mechanism</w:t>
      </w:r>
    </w:p>
    <w:p>
      <w:pPr>
        <w:pStyle w:val="NovelContribution"/>
      </w:pPr>
      <w:r>
        <w:rPr>
          <w:b/>
          <w:bCs/>
          <w:i/>
          <w:iCs/>
        </w:rPr>
        <w:t>NOVEL CONTRIBUTION — The framework derives security point directions for all nine types using the inverse collapse mechanism, without importing the enneagram’s security point system as an input. If stress collapse is driven by chemical depletion and suppression failure, then growth under safety conditions should be driven by the inverse: chemical restoration and suppression optimization.</w:t>
      </w:r>
    </w:p>
    <w:p>
      <w:pPr>
        <w:pStyle w:val="BodyText"/>
        <w:spacing w:before="0" w:after="80"/>
      </w:pPr>
      <w:r>
        <w:rPr/>
        <w:t/>
      </w:r>
    </w:p>
    <w:tbl>
      <w:tblPr>
        <w:tblW w:w="9360" w:type="dxa"/>
        <w:tblLayout w:type="fixed"/>
      </w:tblPr>
      <w:tr>
        <w:tc>
          <w:tcPr>
            <w:tcW w:w="1440" w:type="dxa"/>
            <w:shd w:val="clear" w:color="auto" w:fill="2E5090"/>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color w:val="FFFFFF"/>
                <w:sz w:val="18"/>
                <w:szCs w:val="18"/>
              </w:rPr>
              <w:t>Type → Security</w:t>
            </w:r>
          </w:p>
        </w:tc>
        <w:tc>
          <w:tcPr>
            <w:tcW w:w="1440" w:type="dxa"/>
            <w:shd w:val="clear" w:color="auto" w:fill="2E5090"/>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color w:val="FFFFFF"/>
                <w:sz w:val="18"/>
                <w:szCs w:val="18"/>
              </w:rPr>
              <w:t>Config Shift</w:t>
            </w:r>
          </w:p>
        </w:tc>
        <w:tc>
          <w:tcPr>
            <w:tcW w:w="6480" w:type="dxa"/>
            <w:shd w:val="clear" w:color="auto" w:fill="2E5090"/>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color w:val="FFFFFF"/>
                <w:sz w:val="18"/>
                <w:szCs w:val="18"/>
              </w:rPr>
              <w:t>Mechanism</w:t>
            </w:r>
          </w:p>
        </w:tc>
      </w:tr>
      <w:tr>
        <w:tc>
          <w:tcPr>
            <w:tcW w:w="144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1 → 7</w:t>
            </w:r>
          </w:p>
        </w:tc>
        <w:tc>
          <w:tcPr>
            <w:tcW w:w="144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D/S/B → S/B/D</w:t>
            </w:r>
          </w:p>
        </w:tc>
        <w:tc>
          <w:tcPr>
            <w:tcW w:w="648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Cortisol normalizes; PFC regulation sustained; inner critic quiets. Dopamine forward-momentum becomes available. Gut activation relaxes its rigid channeling. Behavioral output: spontaneity, openness, lighter engagement.</w:t>
            </w:r>
          </w:p>
        </w:tc>
      </w:tr>
      <w:tr>
        <w:tc>
          <w:tcPr>
            <w:tcW w:w="144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2 → 4</w:t>
            </w:r>
          </w:p>
        </w:tc>
        <w:tc>
          <w:tcPr>
            <w:tcW w:w="144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B/D/B → B/D/S</w:t>
            </w:r>
          </w:p>
        </w:tc>
        <w:tc>
          <w:tcPr>
            <w:tcW w:w="648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Relational needs met; cortisol load reduces; oxytocin operates without counter-regulatory burden. Attention turns inward. Head suppression deepens as emotional self-examination becomes available. Behavioral output: self-reflection, emotional authenticity, creative depth.</w:t>
            </w:r>
          </w:p>
        </w:tc>
      </w:tr>
      <w:tr>
        <w:tc>
          <w:tcPr>
            <w:tcW w:w="144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3 → 6</w:t>
            </w:r>
          </w:p>
        </w:tc>
        <w:tc>
          <w:tcPr>
            <w:tcW w:w="144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S/D/B → B/S/D</w:t>
            </w:r>
          </w:p>
        </w:tc>
        <w:tc>
          <w:tcPr>
            <w:tcW w:w="648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Competitive pressure reduced; testosterone not chronically depleted. Heart center's testosterone anchor relaxes. Norepinephrine vigilance becomes available. Behavioral output: collaborative engagement, questioning of authority, group loyalty.</w:t>
            </w:r>
          </w:p>
        </w:tc>
      </w:tr>
      <w:tr>
        <w:tc>
          <w:tcPr>
            <w:tcW w:w="144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4 → 1</w:t>
            </w:r>
          </w:p>
        </w:tc>
        <w:tc>
          <w:tcPr>
            <w:tcW w:w="144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B/D/S → D/S/B</w:t>
            </w:r>
          </w:p>
        </w:tc>
        <w:tc>
          <w:tcPr>
            <w:tcW w:w="648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Identity secure; co-elevation pressure on both heart poles resolves. PFC regulation becomes available, allowing disciplined channeling of energy. Gut center activates with principled direction. Behavioral output: purposeful action, principled discipline.</w:t>
            </w:r>
          </w:p>
        </w:tc>
      </w:tr>
      <w:tr>
        <w:tc>
          <w:tcPr>
            <w:tcW w:w="144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5 → 8</w:t>
            </w:r>
          </w:p>
        </w:tc>
        <w:tc>
          <w:tcPr>
            <w:tcW w:w="144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B/B/D → D/B/B</w:t>
            </w:r>
          </w:p>
        </w:tc>
        <w:tc>
          <w:tcPr>
            <w:tcW w:w="648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Environmental demands low; head dominance softens; continuous reciprocal inhibitory dampening over gut reduces proportionally. Gut center rises toward dominant as dampening lifts. Behavioral output: decisive action, direct confrontation, confident assertion.</w:t>
            </w:r>
          </w:p>
        </w:tc>
      </w:tr>
      <w:tr>
        <w:tc>
          <w:tcPr>
            <w:tcW w:w="144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6 → 9</w:t>
            </w:r>
          </w:p>
        </w:tc>
        <w:tc>
          <w:tcPr>
            <w:tcW w:w="144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B/S/D → S/B/B</w:t>
            </w:r>
          </w:p>
        </w:tc>
        <w:tc>
          <w:tcPr>
            <w:tcW w:w="648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Threat resolved; norepinephrine vigilance reduces; GABA parasympathetic regulation becomes dominant regulatory mode. Heart returns to balance. Behavioral output: ease, trust, merging with environment, reduced scanning.</w:t>
            </w:r>
          </w:p>
        </w:tc>
      </w:tr>
      <w:tr>
        <w:tc>
          <w:tcPr>
            <w:tcW w:w="144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7 → 5</w:t>
            </w:r>
          </w:p>
        </w:tc>
        <w:tc>
          <w:tcPr>
            <w:tcW w:w="144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S/B/D → B/B/D</w:t>
            </w:r>
          </w:p>
        </w:tc>
        <w:tc>
          <w:tcPr>
            <w:tcW w:w="648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Chronic dopamine depletion cycle broken; active gut suppression relaxes to balanced as underlying anxiety source removed. Dopamine operates from abundance for sustained depth. Behavioral output: focused depth, sustained reflection, intellectual absorption.</w:t>
            </w:r>
          </w:p>
        </w:tc>
      </w:tr>
      <w:tr>
        <w:tc>
          <w:tcPr>
            <w:tcW w:w="144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8 → 2</w:t>
            </w:r>
          </w:p>
        </w:tc>
        <w:tc>
          <w:tcPr>
            <w:tcW w:w="144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D/B/B → B/D/B</w:t>
            </w:r>
          </w:p>
        </w:tc>
        <w:tc>
          <w:tcPr>
            <w:tcW w:w="648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Chronic threat-readiness no longer required; gut activation normalizes; reciprocal inhibitory dampening on heart reduces; heart center rises toward dominant. Behavioral output: warmth, care, generosity, protective nurturance directed outward.</w:t>
            </w:r>
          </w:p>
        </w:tc>
      </w:tr>
      <w:tr>
        <w:tc>
          <w:tcPr>
            <w:tcW w:w="144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9 → 3</w:t>
            </w:r>
          </w:p>
        </w:tc>
        <w:tc>
          <w:tcPr>
            <w:tcW w:w="144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S/B/B → S/D/B</w:t>
            </w:r>
          </w:p>
        </w:tc>
        <w:tc>
          <w:tcPr>
            <w:tcW w:w="648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GABA-mediated calm not under depletion pressure; energy held back by GABA gating becomes available for directed engagement. Testosterone-anchored heart dominance emerges. Behavioral output: goal-direction, self-development, productive engagement.</w:t>
            </w:r>
          </w:p>
        </w:tc>
      </w:tr>
    </w:tbl>
    <w:p>
      <w:pPr>
        <w:pStyle w:val="BodyText"/>
        <w:spacing w:before="0" w:after="80"/>
      </w:pPr>
      <w:r>
        <w:rPr/>
        <w:t/>
      </w:r>
    </w:p>
    <w:p>
      <w:pPr>
        <w:pStyle w:val="BodyText"/>
      </w:pPr>
      <w:r>
        <w:rPr/>
        <w:t>The security point derivations achieve a nine-for-nine correspondence with the established enneagram security point system using the inverse collapse mechanism. This was not assumed — the security configurations were derived from the same neurochemical logic as the stress point derivations, then verified against the established system. The result strengthens the framework’s central claim: that the enneagram’s directional movement system reflects the natural attractor dynamics of neurochemical configuration space.</w:t>
      </w:r>
    </w:p>
    <w:p>
      <w:pPr>
        <w:pStyle w:val="Heading1"/>
      </w:pPr>
      <w:r>
        <w:rPr/>
        <w:t>14. Novel Contribution 4: Suddenness of Collapse as Neurochemical Signature</w:t>
      </w:r>
    </w:p>
    <w:p>
      <w:pPr>
        <w:pStyle w:val="NovelContribution"/>
      </w:pPr>
      <w:r>
        <w:rPr>
          <w:b/>
          <w:bCs/>
          <w:i/>
          <w:iCs/>
        </w:rPr>
        <w:t>NOVEL CONTRIBUTION — The abrupt behavioral shifts observed when people move to their stress point are not expressions of character instability. They are the predictable signatures of chemical suppression mechanisms failing — a reframing with direct clinical implications.</w:t>
      </w:r>
    </w:p>
    <w:p>
      <w:pPr>
        <w:pStyle w:val="Heading2"/>
      </w:pPr>
      <w:r>
        <w:rPr/>
        <w:t>14.1 The Core Insight</w:t>
      </w:r>
    </w:p>
    <w:p>
      <w:pPr>
        <w:pStyle w:val="BodyText"/>
      </w:pPr>
      <w:r>
        <w:rPr/>
        <w:t>A dominant suppressive or counter-regulatory mechanism holds a configuration stable under increasing stress load. The system resists change longer than behavioral observation would suggest. Then the mechanism is overwhelmed and the configuration flips rapidly. The suddenness is the signature of a suppressive mechanism failing, not a gradual escalation. Biologically, pressure was building behind a chemical wall the entire time.</w:t>
      </w:r>
    </w:p>
    <w:p>
      <w:pPr>
        <w:pStyle w:val="Heading2"/>
      </w:pPr>
      <w:r>
        <w:rPr/>
        <w:t>14.2 Three Classes of Regulatory Mechanism</w:t>
      </w:r>
    </w:p>
    <w:p>
      <w:pPr>
        <w:pStyle w:val="BodyText"/>
        <w:spacing w:before="0" w:after="80"/>
      </w:pPr>
      <w:r>
        <w:rPr/>
        <w:t/>
      </w:r>
    </w:p>
    <w:tbl>
      <w:tblPr>
        <w:tblW w:w="9360" w:type="dxa"/>
        <w:tblLayout w:type="fixed"/>
      </w:tblPr>
      <w:tr>
        <w:tc>
          <w:tcPr>
            <w:tcW w:w="2000" w:type="dxa"/>
            <w:shd w:val="clear" w:color="auto" w:fill="2E5090"/>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color w:val="FFFFFF"/>
                <w:sz w:val="18"/>
                <w:szCs w:val="18"/>
              </w:rPr>
              <w:t>Center</w:t>
            </w:r>
          </w:p>
        </w:tc>
        <w:tc>
          <w:tcPr>
            <w:tcW w:w="2800" w:type="dxa"/>
            <w:shd w:val="clear" w:color="auto" w:fill="2E5090"/>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color w:val="FFFFFF"/>
                <w:sz w:val="18"/>
                <w:szCs w:val="18"/>
              </w:rPr>
              <w:t>Regulatory Mechanism</w:t>
            </w:r>
          </w:p>
        </w:tc>
        <w:tc>
          <w:tcPr>
            <w:tcW w:w="2800" w:type="dxa"/>
            <w:shd w:val="clear" w:color="auto" w:fill="2E5090"/>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color w:val="FFFFFF"/>
                <w:sz w:val="18"/>
                <w:szCs w:val="18"/>
              </w:rPr>
              <w:t>Collapse Character</w:t>
            </w:r>
          </w:p>
        </w:tc>
        <w:tc>
          <w:tcPr>
            <w:tcW w:w="1760" w:type="dxa"/>
            <w:shd w:val="clear" w:color="auto" w:fill="2E5090"/>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color w:val="FFFFFF"/>
                <w:sz w:val="18"/>
                <w:szCs w:val="18"/>
              </w:rPr>
              <w:t>Types</w:t>
            </w:r>
          </w:p>
        </w:tc>
      </w:tr>
      <w:tr>
        <w:tc>
          <w:tcPr>
            <w:tcW w:w="20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Gut</w:t>
            </w:r>
          </w:p>
        </w:tc>
        <w:tc>
          <w:tcPr>
            <w:tcW w:w="28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GABA/parasympathetic tone actively gates sympathetic activation.</w:t>
            </w:r>
          </w:p>
        </w:tc>
        <w:tc>
          <w:tcPr>
            <w:tcW w:w="28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Binary gating failure. GABA depletes, gut activation floods without ramp-up. Sudden and dramatic. The absence of a gradual escalation is itself the diagnostic signature.</w:t>
            </w:r>
          </w:p>
        </w:tc>
        <w:tc>
          <w:tcPr>
            <w:tcW w:w="17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8, 9, 1</w:t>
            </w:r>
          </w:p>
        </w:tc>
      </w:tr>
      <w:tr>
        <w:tc>
          <w:tcPr>
            <w:tcW w:w="20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Heart</w:t>
            </w:r>
          </w:p>
        </w:tc>
        <w:tc>
          <w:tcPr>
            <w:tcW w:w="28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Oxytocin counter-regulates cortisol (Types 2, 4) or testosterone maintains status-driven dominance (Type 3).</w:t>
            </w:r>
          </w:p>
        </w:tc>
        <w:tc>
          <w:tcPr>
            <w:tcW w:w="28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Capacity failure. The regulatory chemical fights back until its suppressive capacity is exceeded. Slower escalation than gut collapse, then sudden flip when the capacity ceiling is reached.</w:t>
            </w:r>
          </w:p>
        </w:tc>
        <w:tc>
          <w:tcPr>
            <w:tcW w:w="17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2, 3, 4</w:t>
            </w:r>
          </w:p>
        </w:tc>
      </w:tr>
      <w:tr>
        <w:tc>
          <w:tcPr>
            <w:tcW w:w="20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Head</w:t>
            </w:r>
          </w:p>
        </w:tc>
        <w:tc>
          <w:tcPr>
            <w:tcW w:w="28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Prefrontal cortex maintains catecholamine balance within an optimal inverted-U range (Arnsten, 1998, 2009).</w:t>
            </w:r>
          </w:p>
        </w:tc>
        <w:tc>
          <w:tcPr>
            <w:tcW w:w="28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System takeover. Catecholamines exceed optimal range; PFC goes offline; amygdala assumes control. Not a chemical flip — loss of the regulatory system itself. Recovery requires restoring PFC catecholamine balance.</w:t>
            </w:r>
          </w:p>
        </w:tc>
        <w:tc>
          <w:tcPr>
            <w:tcW w:w="17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5, 6, 7</w:t>
            </w:r>
          </w:p>
        </w:tc>
      </w:tr>
    </w:tbl>
    <w:p>
      <w:pPr>
        <w:pStyle w:val="BodyText"/>
        <w:spacing w:before="0" w:after="80"/>
      </w:pPr>
      <w:r>
        <w:rPr/>
        <w:t/>
      </w:r>
    </w:p>
    <w:p>
      <w:pPr>
        <w:pStyle w:val="Heading2"/>
      </w:pPr>
      <w:r>
        <w:rPr/>
        <w:t>14.3 The Head Center as a Special Case</w:t>
      </w:r>
    </w:p>
    <w:p>
      <w:pPr>
        <w:pStyle w:val="BodyText"/>
      </w:pPr>
      <w:r>
        <w:rPr/>
        <w:t>Gut and heart collapses involve one chemical system overtaking another — a pole flip within a center. Head center collapse is qualitatively different: the prefrontal cortex loses regulatory function entirely. Head center types under extreme stress do not simply shift to a different configuration — they lose access to the reflective processing that defines their center. Recovery requires restoring PFC catecholamine balance, not merely shifting chemical dominance.</w:t>
      </w:r>
    </w:p>
    <w:p>
      <w:pPr>
        <w:pStyle w:val="BodyText"/>
      </w:pPr>
      <w:r>
        <w:rPr/>
        <w:t>Intervening on a head center type during collapse means reducing total catecholamine load and restoring PFC function — a fundamentally different target and timeframe than gut or heart center intervention.</w:t>
      </w:r>
    </w:p>
    <w:p>
      <w:pPr>
        <w:pStyle w:val="Heading2"/>
      </w:pPr>
      <w:r>
        <w:rPr/>
        <w:t>14.4 Heart Center Collapse: Three Mechanistically Distinct Pathways</w:t>
      </w:r>
    </w:p>
    <w:p>
      <w:pPr>
        <w:pStyle w:val="ListBullet"/>
        <w:numPr>
          <w:ilvl w:val="0"/>
          <w:numId w:val="1"/>
        </w:numPr>
      </w:pPr>
      <w:r>
        <w:rPr/>
        <w:t>Type 2 collapses through oxytocin capacity failure under sustained cortisol load — the bonding system is overwhelmed by the stress response it was counter-regulating.</w:t>
      </w:r>
    </w:p>
    <w:p>
      <w:pPr>
        <w:pStyle w:val="ListBullet"/>
        <w:numPr>
          <w:ilvl w:val="0"/>
          <w:numId w:val="1"/>
        </w:numPr>
      </w:pPr>
      <w:r>
        <w:rPr/>
        <w:t>Type 3 collapses through testosterone depletion under repeated social defeat — the status-maintenance anchor erodes, and the system drifts toward low-activation disengagement rather than flooding.</w:t>
      </w:r>
    </w:p>
    <w:p>
      <w:pPr>
        <w:pStyle w:val="ListBullet"/>
        <w:numPr>
          <w:ilvl w:val="0"/>
          <w:numId w:val="1"/>
        </w:numPr>
      </w:pPr>
      <w:r>
        <w:rPr/>
        <w:t>Type 4 collapses through dual-pole conflict under identity threat — both oxytocin and testosterone surge simultaneously without resolution, creating internal conflict that destabilizes the configuration without either pole dominating.</w:t>
      </w:r>
    </w:p>
    <w:p>
      <w:pPr>
        <w:pStyle w:val="BodyText"/>
      </w:pPr>
      <w:r>
        <w:rPr/>
        <w:t>These are three different biological failure modes corresponding to the three different positional anchors within the heart center. Type 2 fails at the oxytocin pole. Type 3 fails at the testosterone pole. Type 4 fails at the junction between them.</w:t>
      </w:r>
    </w:p>
    <w:p>
      <w:pPr>
        <w:pStyle w:val="Heading2"/>
      </w:pPr>
      <w:r>
        <w:rPr/>
        <w:t>14.5 Clinical and Practical Implications</w:t>
      </w:r>
    </w:p>
    <w:p>
      <w:pPr>
        <w:pStyle w:val="ListBullet"/>
        <w:numPr>
          <w:ilvl w:val="0"/>
          <w:numId w:val="1"/>
        </w:numPr>
      </w:pPr>
      <w:r>
        <w:rPr/>
        <w:t>Intervention can target the specific regulatory mechanism rather than the behavioral surface — supporting GABA function for Type 9, oxytocin capacity for Type 2, testosterone/status restoration for Type 3, PFC catecholamine balance for head center types.</w:t>
      </w:r>
    </w:p>
    <w:p>
      <w:pPr>
        <w:pStyle w:val="ListBullet"/>
        <w:numPr>
          <w:ilvl w:val="0"/>
          <w:numId w:val="1"/>
        </w:numPr>
      </w:pPr>
      <w:r>
        <w:rPr/>
        <w:t>The threshold at which a type’s regulatory mechanism fails can be raised through physiological intervention — nutrition, sleep, breathwork, somatic therapy.</w:t>
      </w:r>
    </w:p>
    <w:p>
      <w:pPr>
        <w:pStyle w:val="ListBullet"/>
        <w:numPr>
          <w:ilvl w:val="0"/>
          <w:numId w:val="1"/>
        </w:numPr>
      </w:pPr>
      <w:r>
        <w:rPr/>
        <w:t>Pre-collapse warning signs are detectable: signs that the regulatory mechanism is under load appear before behavioral change becomes visible.</w:t>
      </w:r>
    </w:p>
    <w:p>
      <w:pPr>
        <w:pStyle w:val="ListBullet"/>
        <w:numPr>
          <w:ilvl w:val="0"/>
          <w:numId w:val="1"/>
        </w:numPr>
      </w:pPr>
      <w:r>
        <w:rPr/>
        <w:t>Sudden behavioral collapse can be reframed clinically — not as character instability, but as the predictable signature of a chemical suppression mechanism failing.</w:t>
      </w:r>
    </w:p>
    <w:p>
      <w:pPr>
        <w:pStyle w:val="Heading1"/>
      </w:pPr>
      <w:r>
        <w:rPr/>
        <w:t>15. The Neurochemical Bridge to Personality Measurement</w:t>
      </w:r>
    </w:p>
    <w:p>
      <w:pPr>
        <w:pStyle w:val="BodyText"/>
      </w:pPr>
      <w:r>
        <w:rPr/>
        <w:t>For the EBST framework to be scientifically integrable, its claims must be expressible in validated personality measurement systems. Two frameworks provide this bridge.</w:t>
      </w:r>
    </w:p>
    <w:p>
      <w:pPr>
        <w:pStyle w:val="Heading2"/>
      </w:pPr>
      <w:r>
        <w:rPr/>
        <w:t>15.1 The RDoC Framework and Cloninger’s TCI</w:t>
      </w:r>
    </w:p>
    <w:p>
      <w:pPr>
        <w:pStyle w:val="BodyText"/>
      </w:pPr>
      <w:r>
        <w:rPr/>
        <w:t>Two measurement frameworks provide bridges between EBST’s neurochemical claims and validated personality science. They operate at different levels and serve different functions.</w:t>
      </w:r>
    </w:p>
    <w:p>
      <w:pPr>
        <w:pStyle w:val="Heading3"/>
      </w:pPr>
      <w:r>
        <w:rPr/>
        <w:t>Research Domain Criteria (RDoC) — Current Standard</w:t>
      </w:r>
    </w:p>
    <w:p>
      <w:pPr>
        <w:pStyle w:val="BodyText"/>
      </w:pPr>
      <w:r>
        <w:rPr/>
        <w:t>The National Institute of Mental Health’s Research Domain Criteria (RDoC) framework is the current standard for mapping behavioral dimensions to biological systems in psychiatric research. RDoC organizes behavior into functional domains (Positive Valence, Negative Valence, Cognitive Systems, Social Processes, Arousal/Regulatory Systems), each linked to neural circuits, physiology, and behavior rather than to single neurotransmitters. This multi-level, circuit-based framing is more epistemically appropriate for EBST’s claims than single-chemical assignments.</w:t>
      </w:r>
    </w:p>
    <w:p>
      <w:pPr>
        <w:pStyle w:val="BodyText"/>
      </w:pPr>
      <w:r>
        <w:rPr/>
        <w:t>EBST’s type architecture maps onto RDoC domains as follows:</w:t>
      </w:r>
    </w:p>
    <w:p>
      <w:pPr>
        <w:pStyle w:val="ListBullet"/>
        <w:numPr>
          <w:ilvl w:val="0"/>
          <w:numId w:val="1"/>
        </w:numPr>
      </w:pPr>
      <w:r>
        <w:rPr/>
        <w:t>Type 7’s dopamine-driven exploration → RDoC ‘Positive Valence: Reward Seeking’ domain</w:t>
      </w:r>
    </w:p>
    <w:p>
      <w:pPr>
        <w:pStyle w:val="ListBullet"/>
        <w:numPr>
          <w:ilvl w:val="0"/>
          <w:numId w:val="1"/>
        </w:numPr>
      </w:pPr>
      <w:r>
        <w:rPr/>
        <w:t>Type 6’s NE-driven threat-monitoring → RDoC ‘Negative Valence: Sustained Threat’ domain</w:t>
      </w:r>
    </w:p>
    <w:p>
      <w:pPr>
        <w:pStyle w:val="ListBullet"/>
        <w:numPr>
          <w:ilvl w:val="0"/>
          <w:numId w:val="1"/>
        </w:numPr>
      </w:pPr>
      <w:r>
        <w:rPr/>
        <w:t>Type 9’s GABA/vagal suppression → RDoC ‘Arousal/Regulatory: Arousal’ domain</w:t>
      </w:r>
    </w:p>
    <w:p>
      <w:pPr>
        <w:pStyle w:val="ListBullet"/>
        <w:numPr>
          <w:ilvl w:val="0"/>
          <w:numId w:val="1"/>
        </w:numPr>
      </w:pPr>
      <w:r>
        <w:rPr/>
        <w:t>Heart center dynamics → RDoC ‘Social Processes: Affiliation and Attachment’ and ‘Social Processes: Social Communication’ domains</w:t>
      </w:r>
    </w:p>
    <w:p>
      <w:pPr>
        <w:pStyle w:val="BodyText"/>
      </w:pPr>
      <w:r>
        <w:rPr/>
        <w:t>This RDoC translation is the preferred framing for any empirical research program built on this framework, as it connects directly to contemporary psychiatric research methodology and avoids the single-chemical oversimplifications that have weakened earlier personality neuroscience models.</w:t>
      </w:r>
    </w:p>
    <w:p>
      <w:pPr>
        <w:pStyle w:val="Citation"/>
      </w:pPr>
      <w:r>
        <w:rPr>
          <w:i/>
          <w:iCs/>
        </w:rPr>
        <w:t>Insel T et al. (2010). Research domain criteria (RDoC): Toward a new classification framework for research on mental disorders. American Journal of Psychiatry, 167(7), 748-751.</w:t>
      </w:r>
    </w:p>
    <w:p>
      <w:pPr>
        <w:pStyle w:val="Heading3"/>
      </w:pPr>
      <w:r>
        <w:rPr/>
        <w:t>Cloninger’s TCI — Historical Bridge with Explicit Caveats</w:t>
      </w:r>
    </w:p>
    <w:p>
      <w:pPr>
        <w:pStyle w:val="BodyText"/>
      </w:pPr>
      <w:r>
        <w:rPr/>
        <w:t>Cloninger’s Temperament and Character Inventory (TCI) proposed four temperament dimensions each associated with a specific neuromodulator: Novelty Seeking (dopamine), Harm Avoidance (serotonin), Reward Dependence (norepinephrine), and Persistence (glutamatergic-dopaminergic). The TCI has a validated psychometric instrument and an extensive empirical literature.</w:t>
      </w:r>
    </w:p>
    <w:p>
      <w:pPr>
        <w:pStyle w:val="BodyText"/>
      </w:pPr>
      <w:r>
        <w:rPr/>
        <w:t>However, Cloninger’s one-to-one neurochemical assignments are now considered dated. Meta-analyses have demonstrated that single-neuromodulator correlations with personality dimensions are weak and inconsistent — personality involves distributed neural circuits and multiple interacting neuromodulators. Using TCI as a primary mechanistic pillar risks anchoring the framework to 1980s neuroscience that the field has substantially revised. Earlier versions of this document made this error; it is corrected here.</w:t>
      </w:r>
    </w:p>
    <w:p>
      <w:pPr>
        <w:pStyle w:val="BodyText"/>
      </w:pPr>
      <w:r>
        <w:rPr/>
        <w:t>The TCI is retained for one specific bounded purpose: as a validated psychometric instrument that could operationalize type-to-temperament predictions in empirical studies. The falsifiable prediction — that Enneagram types should differentiate on TCI temperament profiles at better-than-chance rates — is a testable behavioral claim that does not require Cloninger’s original neurochemical assignments to be mechanistically accurate. For mechanistic claims, RDoC is the appropriate framework.</w:t>
      </w:r>
    </w:p>
    <w:p>
      <w:pPr>
        <w:pStyle w:val="Citation"/>
      </w:pPr>
      <w:r>
        <w:rPr>
          <w:i/>
          <w:iCs/>
        </w:rPr>
        <w:t>Cloninger, C.R., Svrakic, D.M., &amp; Przybeck, T.R. (1993). A psychobiological model of temperament and character. Archives of General Psychiatry, 50(12), 975-990.</w:t>
      </w:r>
    </w:p>
    <w:p>
      <w:pPr>
        <w:pStyle w:val="Heading2"/>
      </w:pPr>
      <w:r>
        <w:rPr/>
        <w:t>15.2 Integration with the Big Five</w:t>
      </w:r>
    </w:p>
    <w:p>
      <w:pPr>
        <w:pStyle w:val="BodyText"/>
      </w:pPr>
      <w:r>
        <w:rPr/>
        <w:t>Any neurobiologically grounded personality model must be expressible in Big Five terms, since the Big Five represents the most validated and replicated structure of personality variation at the phenotypic level. DeYoung’s work connecting Big Five factors to neural systems provides the translation layer.</w:t>
      </w:r>
    </w:p>
    <w:p>
      <w:pPr>
        <w:pStyle w:val="ListBullet"/>
        <w:numPr>
          <w:ilvl w:val="0"/>
          <w:numId w:val="1"/>
        </w:numPr>
      </w:pPr>
      <w:r>
        <w:rPr/>
        <w:t>Neuroticism maps to threat-reactive systems: amygdala reactivity, HPA axis sensitivity, and BIS engagement — the phenotypic expression of high Harm Avoidance in Cloninger’s system.</w:t>
      </w:r>
    </w:p>
    <w:p>
      <w:pPr>
        <w:pStyle w:val="ListBullet"/>
        <w:numPr>
          <w:ilvl w:val="0"/>
          <w:numId w:val="1"/>
        </w:numPr>
      </w:pPr>
      <w:r>
        <w:rPr/>
        <w:t>Extraversion maps to dopaminergic reward sensitivity and BAS engagement — the phenotypic expression of high Novelty Seeking.</w:t>
      </w:r>
    </w:p>
    <w:p>
      <w:pPr>
        <w:pStyle w:val="ListBullet"/>
        <w:numPr>
          <w:ilvl w:val="0"/>
          <w:numId w:val="1"/>
        </w:numPr>
      </w:pPr>
      <w:r>
        <w:rPr/>
        <w:t>Conscientiousness maps to effortful control systems (Rothbart) and prefrontal regulatory capacity.</w:t>
      </w:r>
    </w:p>
    <w:p>
      <w:pPr>
        <w:pStyle w:val="ListBullet"/>
        <w:numPr>
          <w:ilvl w:val="0"/>
          <w:numId w:val="1"/>
        </w:numPr>
      </w:pPr>
      <w:r>
        <w:rPr/>
        <w:t>Agreeableness reflects social sensitivity, oxytocin system responsiveness, and Reward Dependence.</w:t>
      </w:r>
    </w:p>
    <w:p>
      <w:pPr>
        <w:pStyle w:val="ListBullet"/>
        <w:numPr>
          <w:ilvl w:val="0"/>
          <w:numId w:val="1"/>
        </w:numPr>
      </w:pPr>
      <w:r>
        <w:rPr/>
        <w:t>Openness reflects a combination of Novelty Seeking, cognitive exploration, and default mode network connectivity.</w:t>
      </w:r>
    </w:p>
    <w:p>
      <w:pPr>
        <w:pStyle w:val="BodyText"/>
      </w:pPr>
      <w:r>
        <w:rPr/>
        <w:t>The EBST model’s type structure should be translatable into characteristic Big Five profiles. If types do not predict Big Five factor scores at better-than-chance rates, this signals a structural problem with the type architecture that neurochemical elaboration cannot fix. The Big Five mapping is a validity check, not an alternative framework.</w:t>
      </w:r>
    </w:p>
    <w:p>
      <w:pPr>
        <w:pStyle w:val="Citation"/>
      </w:pPr>
      <w:r>
        <w:rPr>
          <w:i/>
          <w:iCs/>
        </w:rPr>
        <w:t>DeYoung, C.G. (2010). Personality neuroscience and the biology of traits. Social and Personality Psychology Compass, 4(12), 1165-1180.</w:t>
      </w:r>
    </w:p>
    <w:p>
      <w:pPr>
        <w:pStyle w:val="Citation"/>
      </w:pPr>
      <w:r>
        <w:rPr>
          <w:i/>
          <w:iCs/>
        </w:rPr>
        <w:t>DeYoung, C.G., Hirsh, J.B., Shane, M.S., et al. (2010). Testing predictions from personality neuroscience. Psychological Science, 21(6), 820-828.</w:t>
      </w:r>
    </w:p>
    <w:p>
      <w:pPr>
        <w:pStyle w:val="Heading1"/>
      </w:pPr>
      <w:r>
        <w:rPr/>
        <w:t>16. Open Questions and Follow-Up Areas</w:t>
      </w:r>
    </w:p>
    <w:p>
      <w:pPr>
        <w:pStyle w:val="Heading2"/>
      </w:pPr>
      <w:r>
        <w:rPr/>
        <w:t>16.1 Security Points</w:t>
      </w:r>
    </w:p>
    <w:p>
      <w:pPr>
        <w:pStyle w:val="BodyText"/>
      </w:pPr>
      <w:r>
        <w:rPr/>
        <w:t>Security point derivation is complete — see Section 13.5. Two genuinely open questions remain. First, whether the inverse mechanism is fully symmetrical: stress collapse derivations are grounded in chemical depletion physiology; the security derivations assume the mirror logic holds. That assumption is reasonable but not independently confirmed. Second, whether security point transitions are abrupt in the way stress collapses are. The prediction is that growth toward the security point is gradual rather than abrupt — a testable behavioral signature distinct from the stress direction.</w:t>
      </w:r>
    </w:p>
    <w:p>
      <w:pPr>
        <w:pStyle w:val="Heading2"/>
      </w:pPr>
      <w:r>
        <w:rPr/>
        <w:t>16.2 Type 5: Hybrid Collapse Class</w:t>
      </w:r>
    </w:p>
    <w:p>
      <w:pPr>
        <w:pStyle w:val="BodyText"/>
      </w:pPr>
      <w:r>
        <w:rPr/>
        <w:t>Type 5’s collapse (B/B/D → S/B/D) involves two simultaneous changes: a shift in which pole of the head center dominates, and a gut configuration change from balanced to suppressed. This is neither a pure center-to-center reconfiguration nor a simple pole flip — it is a hybrid that warrants dedicated investigation.</w:t>
      </w:r>
    </w:p>
    <w:p>
      <w:pPr>
        <w:pStyle w:val="Heading2"/>
      </w:pPr>
      <w:r>
        <w:rPr/>
        <w:t>16.3 Neurochemical Classification Alignment</w:t>
      </w:r>
    </w:p>
    <w:p>
      <w:pPr>
        <w:pStyle w:val="ListBullet"/>
        <w:numPr>
          <w:ilvl w:val="0"/>
          <w:numId w:val="1"/>
        </w:numPr>
      </w:pPr>
      <w:r>
        <w:rPr/>
        <w:t>Do monoamines (dopamine, serotonin, noradrenaline) map to specific pole positions across the three centers?</w:t>
      </w:r>
    </w:p>
    <w:p>
      <w:pPr>
        <w:pStyle w:val="ListBullet"/>
        <w:numPr>
          <w:ilvl w:val="0"/>
          <w:numId w:val="1"/>
        </w:numPr>
      </w:pPr>
      <w:r>
        <w:rPr/>
        <w:t>Does the amino acid class — specifically GABA and glutamate — represent a cross-cutting regulatory layer governing the containment pole across all centers?</w:t>
      </w:r>
    </w:p>
    <w:p>
      <w:pPr>
        <w:pStyle w:val="ListBullet"/>
        <w:numPr>
          <w:ilvl w:val="0"/>
          <w:numId w:val="1"/>
        </w:numPr>
      </w:pPr>
      <w:r>
        <w:rPr/>
        <w:t>Do neuropeptides (oxytocin, endorphins) and steroid hormones (testosterone, cortisol) occupy a dimension related to the Object Relations meta-formula?</w:t>
      </w:r>
    </w:p>
    <w:p>
      <w:pPr>
        <w:pStyle w:val="Heading2"/>
      </w:pPr>
      <w:r>
        <w:rPr/>
        <w:t>16.4 Intermediate States During Stress Escalation</w:t>
      </w:r>
    </w:p>
    <w:p>
      <w:pPr>
        <w:pStyle w:val="BodyText"/>
      </w:pPr>
      <w:r>
        <w:rPr/>
        <w:t>As activation increases toward the collapse threshold, a person may temporarily exhibit the neurochemical profile of a different type. Mapping those intermediate states could reveal predictable sequences and explain why people under moderate stress begin showing characteristics of their stress point before full collapse occurs.</w:t>
      </w:r>
    </w:p>
    <w:p>
      <w:pPr>
        <w:pStyle w:val="Heading2"/>
      </w:pPr>
      <w:r>
        <w:rPr/>
        <w:t>16.5 Organ Damage and Type Signature</w:t>
      </w:r>
    </w:p>
    <w:p>
      <w:pPr>
        <w:pStyle w:val="BodyText"/>
      </w:pPr>
      <w:r>
        <w:rPr/>
        <w:t>If organ damage or neurological injury changes neurochemical production and breakdown ratios, does that shift someone’s type signature, or does the underlying type persist in a constrained form? This has direct implications for clinical populations.</w:t>
      </w:r>
    </w:p>
    <w:p>
      <w:pPr>
        <w:pStyle w:val="Heading2"/>
      </w:pPr>
      <w:r>
        <w:rPr/>
        <w:t>16.6 Validation and Research Design</w:t>
      </w:r>
    </w:p>
    <w:p>
      <w:pPr>
        <w:pStyle w:val="ListBullet"/>
        <w:numPr>
          <w:ilvl w:val="0"/>
          <w:numId w:val="1"/>
        </w:numPr>
      </w:pPr>
      <w:r>
        <w:rPr/>
        <w:t>What biomarkers would most efficiently capture both baseline hierarchy and stress response trajectory simultaneously?</w:t>
      </w:r>
    </w:p>
    <w:p>
      <w:pPr>
        <w:pStyle w:val="ListBullet"/>
        <w:numPr>
          <w:ilvl w:val="0"/>
          <w:numId w:val="1"/>
        </w:numPr>
      </w:pPr>
      <w:r>
        <w:rPr/>
        <w:t>How would type be validated independently of biochemistry to avoid circular reasoning?</w:t>
      </w:r>
    </w:p>
    <w:p>
      <w:pPr>
        <w:pStyle w:val="ListBullet"/>
        <w:numPr>
          <w:ilvl w:val="0"/>
          <w:numId w:val="1"/>
        </w:numPr>
      </w:pPr>
      <w:r>
        <w:rPr/>
        <w:t>Can the Object Relations coordination pattern be measured through heart rate variability or neuroimaging showing inter-system coherence?</w:t>
      </w:r>
    </w:p>
    <w:p>
      <w:pPr>
        <w:pStyle w:val="ListBullet"/>
        <w:numPr>
          <w:ilvl w:val="0"/>
          <w:numId w:val="1"/>
        </w:numPr>
      </w:pPr>
      <w:r>
        <w:rPr/>
        <w:t>Specific testable prediction: Type 9 individuals should show characteristically elevated parasympathetic tone at rest and a more abrupt sympathetic activation curve under stress compared to other gut center types.</w:t>
      </w:r>
    </w:p>
    <w:p>
      <w:pPr>
        <w:pStyle w:val="ListBullet"/>
        <w:numPr>
          <w:ilvl w:val="0"/>
          <w:numId w:val="1"/>
        </w:numPr>
      </w:pPr>
      <w:r>
        <w:rPr/>
        <w:t>Specific testable prediction: Type 3 individuals should show testosterone depletion under sustained social defeat conditions, with withdrawal behavior tracking testosterone decline rather than cortisol flooding.</w:t>
      </w:r>
    </w:p>
    <w:p>
      <w:pPr>
        <w:pStyle w:val="Heading2"/>
      </w:pPr>
      <w:r>
        <w:rPr/>
        <w:t>16.7 Adjacent Frameworks</w:t>
      </w:r>
    </w:p>
    <w:p>
      <w:pPr>
        <w:pStyle w:val="ListBullet"/>
        <w:numPr>
          <w:ilvl w:val="0"/>
          <w:numId w:val="1"/>
        </w:numPr>
      </w:pPr>
      <w:r>
        <w:rPr/>
        <w:t>Polyvagal theory (Stephen Porges) — vagal tone as a core component of the gut center containment pole.</w:t>
      </w:r>
    </w:p>
    <w:p>
      <w:pPr>
        <w:pStyle w:val="ListBullet"/>
        <w:numPr>
          <w:ilvl w:val="0"/>
          <w:numId w:val="1"/>
        </w:numPr>
      </w:pPr>
      <w:r>
        <w:rPr/>
        <w:t>Somatic experiencing (Peter Levine) — charge discharge and containment as parallel concepts.</w:t>
      </w:r>
    </w:p>
    <w:p>
      <w:pPr>
        <w:pStyle w:val="ListBullet"/>
        <w:numPr>
          <w:ilvl w:val="0"/>
          <w:numId w:val="1"/>
        </w:numPr>
      </w:pPr>
      <w:r>
        <w:rPr/>
        <w:t>Heart rate variability research — potential proxy for Object Relations coordination pattern.</w:t>
      </w:r>
    </w:p>
    <w:p>
      <w:pPr>
        <w:pStyle w:val="ListBullet"/>
        <w:numPr>
          <w:ilvl w:val="0"/>
          <w:numId w:val="1"/>
        </w:numPr>
      </w:pPr>
      <w:r>
        <w:rPr/>
        <w:t>Challenge/defeat testosterone literature — directly relevant to Type 3 collapse mechanism.</w:t>
      </w:r>
    </w:p>
    <w:p>
      <w:pPr>
        <w:pStyle w:val="Heading2"/>
      </w:pPr>
      <w:r>
        <w:rPr/>
        <w:t>16.8 Theoretical Note: The Coherence Audience and Narrative Identity</w:t>
      </w:r>
    </w:p>
    <w:p>
      <w:pPr>
        <w:pStyle w:val="BodyText"/>
      </w:pPr>
      <w:r>
        <w:rPr/>
        <w:t>This section records a theoretical observation that emerged from the framework but is not developed as a formal claim or testable prediction. It is offered as a direction for future interdisciplinary work.</w:t>
      </w:r>
    </w:p>
    <w:p>
      <w:pPr>
        <w:pStyle w:val="BodyText"/>
      </w:pPr>
      <w:r>
        <w:rPr/>
        <w:t>Narrative identity theory (McAdams, 1993) proposes that the self is a story a person tells — an ongoing autobiographical narrative that integrates past, present, and anticipated future into a coherent whole. The implicit question running beneath this account is: hang together for whom? Every coherence performance has an audience, and the nature of that audience shapes what coherence means and what a favorable verdict feels like.</w:t>
      </w:r>
    </w:p>
    <w:p>
      <w:pPr>
        <w:pStyle w:val="BodyText"/>
      </w:pPr>
      <w:r>
        <w:rPr/>
        <w:t>The framework proposed here may contain an answer to that question that narrative identity theory has not yet fully articulated. The instinct stack — Self-Preservation, Sexual, Social — appears to predict not just what a person is motivated by, but what kind of judge they are organizing their coherence performance around. If this is correct, the instinct is functioning as a selector for the coherence audience: the type of evaluative authority whose recognition can actually pronounce the self-narrative whole.</w:t>
      </w:r>
    </w:p>
    <w:p>
      <w:pPr>
        <w:pStyle w:val="BodyText"/>
      </w:pPr>
      <w:r>
        <w:rPr/>
        <w:t>The three instincts suggest three distinct judges, each with different jurisdiction:</w:t>
      </w:r>
    </w:p>
    <w:p>
      <w:pPr>
        <w:pStyle w:val="ListBullet"/>
        <w:numPr>
          <w:ilvl w:val="0"/>
          <w:numId w:val="1"/>
        </w:numPr>
      </w:pPr>
      <w:r>
        <w:rPr/>
        <w:t>The Social instinct organizes coherence for the collective. The judge evaluates belonging and legibility — whether the person makes sense within the social order, has standing, can be placed. A favorable verdict feels like membership. The story has to hang together for an audience that is essentially the group.</w:t>
      </w:r>
    </w:p>
    <w:p>
      <w:pPr>
        <w:pStyle w:val="ListBullet"/>
        <w:numPr>
          <w:ilvl w:val="0"/>
          <w:numId w:val="1"/>
        </w:numPr>
      </w:pPr>
      <w:r>
        <w:rPr/>
        <w:t>The Self-Preservation instinct organizes coherence for a pragmatic standard of viability. The judge is less a person than a functional criterion — does this way of being actually work as a survival strategy? A favorable verdict feels like adequacy and security. The story has to hang together against the measure of whether it sustains the person.</w:t>
      </w:r>
    </w:p>
    <w:p>
      <w:pPr>
        <w:pStyle w:val="ListBullet"/>
        <w:numPr>
          <w:ilvl w:val="0"/>
          <w:numId w:val="1"/>
        </w:numPr>
      </w:pPr>
      <w:r>
        <w:rPr/>
        <w:t>The Sexual instinct organizes coherence for a singular idealized other. The judge is not the group and not an abstract standard — it is a specific witness whose full recognition of what the person is would confirm the whole self-narrative. A favorable verdict feels like being seen completely. The story has to hang together for the one who matters.</w:t>
      </w:r>
    </w:p>
    <w:p>
      <w:pPr>
        <w:pStyle w:val="BodyText"/>
      </w:pPr>
      <w:r>
        <w:rPr/>
        <w:t>This maps onto an adjacent distinction already present in the framework. The Hornevian Groups — move toward, move against, move away — describe the directionality of the coherence performance: which way a person is facing when they make their case. The instinct stack, under this reading, describes something different and complementary: the nature of the judge itself, independent of the direction of the performance. A Compliant type (moving toward) and an Assertive type (moving against) may both be organizing their coherence narrative for a Social audience — but they are approaching that audience from different directions. The two axes are not redundant.</w:t>
      </w:r>
    </w:p>
    <w:p>
      <w:pPr>
        <w:pStyle w:val="BodyText"/>
      </w:pPr>
      <w:r>
        <w:rPr/>
        <w:t>The connection to existing psychological literature is through several related constructs: Cooley’s looking-glass self (the self formed by imagining how one appears to others and internalizing their imagined judgment), Mead’s generalized other (the internalized composite audience whose standards regulate self-evaluation), and the psychoanalytic ego ideal (the internalized evaluative authority derived from significant figures whose approval originally established the sense of worth). Each of these captures part of what is being described here. The instinct-based framing adds specificity: these are not generic others but functionally distinct types of judge, each with different evaluative jurisdiction, and the dominant instinct predicts which type of judge a person has internalized as their primary coherence authority.</w:t>
      </w:r>
    </w:p>
    <w:p>
      <w:pPr>
        <w:pStyle w:val="BodyText"/>
      </w:pPr>
      <w:r>
        <w:rPr/>
        <w:t>This is noted here as a theoretical observation rather than a framework claim. It has not been developed into testable predictions, it has not been checked against the enneagram literature for prior formulations, and it introduces a psychological construct (narrative coherence) that sits outside the neurobiological scope of the main framework. It is nonetheless recorded because it represents a potentially productive connection between EBST’s instinct architecture and an established tradition in personality psychology that the framework has not yet formally engaged.</w:t>
      </w:r>
    </w:p>
    <w:p>
      <w:pPr>
        <w:pStyle w:val="Citation"/>
      </w:pPr>
      <w:r>
        <w:rPr>
          <w:i/>
          <w:iCs/>
        </w:rPr>
        <w:t>McAdams, D.P. (1993). The Stories We Live By: Personal Myths and the Making of the Self. Guilford Press.</w:t>
      </w:r>
    </w:p>
    <w:p>
      <w:pPr>
        <w:pStyle w:val="Citation"/>
      </w:pPr>
      <w:r>
        <w:rPr>
          <w:i/>
          <w:iCs/>
        </w:rPr>
        <w:t>Cooley, C.H. (1902). Human Nature and the Social Order. Scribner’s.</w:t>
      </w:r>
    </w:p>
    <w:p>
      <w:pPr>
        <w:pStyle w:val="Citation"/>
      </w:pPr>
      <w:r>
        <w:rPr>
          <w:i/>
          <w:iCs/>
        </w:rPr>
        <w:t>Mead, G.H. (1934). Mind, Self, and Society. University of Chicago Press.</w:t>
      </w:r>
    </w:p>
    <w:p>
      <w:pPr>
        <w:pStyle w:val="Heading1"/>
      </w:pPr>
      <w:r>
        <w:rPr/>
        <w:t>17. Falsifiability, Assertions Registry, Assumptions and Limitations</w:t>
      </w:r>
    </w:p>
    <w:p>
      <w:pPr>
        <w:pStyle w:val="BodyText"/>
      </w:pPr>
      <w:r>
        <w:rPr/>
        <w:t>This section is designed for scientific engagement. It states the conditions under which this framework would be wrong, identifies every biological claim with its source and evidence classification, and lists the modeling assumptions and known limitations.</w:t>
      </w:r>
    </w:p>
    <w:p>
      <w:pPr>
        <w:pStyle w:val="Heading2"/>
      </w:pPr>
      <w:r>
        <w:rPr/>
        <w:t>17.1 Falsifiability Conditions</w:t>
      </w:r>
    </w:p>
    <w:p>
      <w:pPr>
        <w:pStyle w:val="BodyText"/>
        <w:spacing w:before="0" w:after="80"/>
      </w:pPr>
      <w:r>
        <w:rPr/>
        <w:t/>
      </w:r>
    </w:p>
    <w:tbl>
      <w:tblPr>
        <w:tblW w:w="9360" w:type="dxa"/>
        <w:tblLayout w:type="fixed"/>
      </w:tblPr>
      <w:tr>
        <w:tc>
          <w:tcPr>
            <w:tcW w:w="480" w:type="dxa"/>
            <w:shd w:val="clear" w:color="auto" w:fill="2E5090"/>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color w:val="FFFFFF"/>
                <w:sz w:val="18"/>
                <w:szCs w:val="18"/>
              </w:rPr>
              <w:t>#</w:t>
            </w:r>
          </w:p>
        </w:tc>
        <w:tc>
          <w:tcPr>
            <w:tcW w:w="2600" w:type="dxa"/>
            <w:shd w:val="clear" w:color="auto" w:fill="2E5090"/>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color w:val="FFFFFF"/>
                <w:sz w:val="18"/>
                <w:szCs w:val="18"/>
              </w:rPr>
              <w:t>Framework Claim</w:t>
            </w:r>
          </w:p>
        </w:tc>
        <w:tc>
          <w:tcPr>
            <w:tcW w:w="3480" w:type="dxa"/>
            <w:shd w:val="clear" w:color="auto" w:fill="2E5090"/>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color w:val="FFFFFF"/>
                <w:sz w:val="18"/>
                <w:szCs w:val="18"/>
              </w:rPr>
              <w:t>Falsification Condition</w:t>
            </w:r>
          </w:p>
        </w:tc>
        <w:tc>
          <w:tcPr>
            <w:tcW w:w="2800" w:type="dxa"/>
            <w:shd w:val="clear" w:color="auto" w:fill="2E5090"/>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color w:val="FFFFFF"/>
                <w:sz w:val="18"/>
                <w:szCs w:val="18"/>
              </w:rPr>
              <w:t>Sections Affected</w:t>
            </w:r>
          </w:p>
        </w:tc>
      </w:tr>
      <w:tr>
        <w:tc>
          <w:tcPr>
            <w:tcW w:w="48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F1</w:t>
            </w:r>
          </w:p>
        </w:tc>
        <w:tc>
          <w:tcPr>
            <w:tcW w:w="26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Single-system dominance is the most metabolically stable attractor configuration — sustained simultaneous multi-system dominance is energetically costly and behaviorally incoherent, making it non-viable as a persistent personality type</w:t>
            </w:r>
          </w:p>
        </w:tc>
        <w:tc>
          <w:tcPr>
            <w:tcW w:w="348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Research demonstrating that two or more centers can simultaneously sustain equivalent dominance as a stable resting personality configuration without pathological cost or behavioral incoherence. Note: the claim is not that multi-system activation is neurologically impossible, but that it is not a stable attractor state.</w:t>
            </w:r>
          </w:p>
        </w:tc>
        <w:tc>
          <w:tcPr>
            <w:tcW w:w="28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Section 12.1, entire configuration architecture</w:t>
            </w:r>
          </w:p>
        </w:tc>
      </w:tr>
      <w:tr>
        <w:tc>
          <w:tcPr>
            <w:tcW w:w="48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F2</w:t>
            </w:r>
          </w:p>
        </w:tc>
        <w:tc>
          <w:tcPr>
            <w:tcW w:w="26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Sustained dual active suppression exceeds inhibitory resources and is characteristic of breakdown rather than stable personality configuration</w:t>
            </w:r>
          </w:p>
        </w:tc>
        <w:tc>
          <w:tcPr>
            <w:tcW w:w="348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Research demonstrating stable, long-term dual-system active suppression as a characteristic non-pathological personality state. Note: the claim is not that the brain cannot produce this configuration, but that it cannot sustain it as a stable personality attractor.</w:t>
            </w:r>
          </w:p>
        </w:tc>
        <w:tc>
          <w:tcPr>
            <w:tcW w:w="28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Section 12.1, entire configuration architecture</w:t>
            </w:r>
          </w:p>
        </w:tc>
      </w:tr>
      <w:tr>
        <w:tc>
          <w:tcPr>
            <w:tcW w:w="48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F3</w:t>
            </w:r>
          </w:p>
        </w:tc>
        <w:tc>
          <w:tcPr>
            <w:tcW w:w="26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Gut/autonomic, heart/limbic, and head/prefrontal centers compete within the same CAN resource pool, creating energetic pressure toward single-system dominance</w:t>
            </w:r>
          </w:p>
        </w:tc>
        <w:tc>
          <w:tcPr>
            <w:tcW w:w="348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Research demonstrating these three systems operate on fully independent resource pools with no mutual inhibition or energetic competition</w:t>
            </w:r>
          </w:p>
        </w:tc>
        <w:tc>
          <w:tcPr>
            <w:tcW w:w="28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Section 12.1, Sections 4, 6, 8</w:t>
            </w:r>
          </w:p>
        </w:tc>
      </w:tr>
      <w:tr>
        <w:tc>
          <w:tcPr>
            <w:tcW w:w="48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F4</w:t>
            </w:r>
          </w:p>
        </w:tc>
        <w:tc>
          <w:tcPr>
            <w:tcW w:w="26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The nine type configurations are derivable from neurochemical constraints without importing them from the enneagram</w:t>
            </w:r>
          </w:p>
        </w:tc>
        <w:tc>
          <w:tcPr>
            <w:tcW w:w="348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Demonstration that the two rules were constructed to produce nine rather than being derived from biology independently</w:t>
            </w:r>
          </w:p>
        </w:tc>
        <w:tc>
          <w:tcPr>
            <w:tcW w:w="28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Section 12, entire framework</w:t>
            </w:r>
          </w:p>
        </w:tc>
      </w:tr>
      <w:tr>
        <w:tc>
          <w:tcPr>
            <w:tcW w:w="48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F5</w:t>
            </w:r>
          </w:p>
        </w:tc>
        <w:tc>
          <w:tcPr>
            <w:tcW w:w="26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Configuration collapse logic correctly predicts stress point directions for all nine types</w:t>
            </w:r>
          </w:p>
        </w:tc>
        <w:tc>
          <w:tcPr>
            <w:tcW w:w="348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Any type whose stress behavior is empirically shown to diverge from its predicted collapse direction in a way that cannot be explained by the documented mechanisms</w:t>
            </w:r>
          </w:p>
        </w:tc>
        <w:tc>
          <w:tcPr>
            <w:tcW w:w="28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Sections 13, 14</w:t>
            </w:r>
          </w:p>
        </w:tc>
      </w:tr>
      <w:tr>
        <w:tc>
          <w:tcPr>
            <w:tcW w:w="48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F6</w:t>
            </w:r>
          </w:p>
        </w:tc>
        <w:tc>
          <w:tcPr>
            <w:tcW w:w="26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The suddenness of stress collapse reflects chemical suppression failure rather than psychological or social factors</w:t>
            </w:r>
          </w:p>
        </w:tc>
        <w:tc>
          <w:tcPr>
            <w:tcW w:w="348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Research demonstrating abrupt behavioral shifts under stress are better explained by cognitive or social variables with no corresponding physiological signature</w:t>
            </w:r>
          </w:p>
        </w:tc>
        <w:tc>
          <w:tcPr>
            <w:tcW w:w="28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Section 14</w:t>
            </w:r>
          </w:p>
        </w:tc>
      </w:tr>
      <w:tr>
        <w:tc>
          <w:tcPr>
            <w:tcW w:w="48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F7</w:t>
            </w:r>
          </w:p>
        </w:tc>
        <w:tc>
          <w:tcPr>
            <w:tcW w:w="26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Cascade Theory's three pillars map onto the three Centers of Intelligence</w:t>
            </w:r>
          </w:p>
        </w:tc>
        <w:tc>
          <w:tcPr>
            <w:tcW w:w="348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Research demonstrating the catecholamine, oxytocin, and cortisol pillars correspond to a different tripartite structure</w:t>
            </w:r>
          </w:p>
        </w:tc>
        <w:tc>
          <w:tcPr>
            <w:tcW w:w="28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Section 10</w:t>
            </w:r>
          </w:p>
        </w:tc>
      </w:tr>
      <w:tr>
        <w:tc>
          <w:tcPr>
            <w:tcW w:w="48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F8</w:t>
            </w:r>
          </w:p>
        </w:tc>
        <w:tc>
          <w:tcPr>
            <w:tcW w:w="26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Object Relations describes inter-system coordination rather than a fourth neurochemical axis</w:t>
            </w:r>
          </w:p>
        </w:tc>
        <w:tc>
          <w:tcPr>
            <w:tcW w:w="348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Research demonstrating Object Relations groupings correspond to a distinct fourth neurochemical system</w:t>
            </w:r>
          </w:p>
        </w:tc>
        <w:tc>
          <w:tcPr>
            <w:tcW w:w="28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Section 5</w:t>
            </w:r>
          </w:p>
        </w:tc>
      </w:tr>
      <w:tr>
        <w:tc>
          <w:tcPr>
            <w:tcW w:w="48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F9</w:t>
            </w:r>
          </w:p>
        </w:tc>
        <w:tc>
          <w:tcPr>
            <w:tcW w:w="26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Testosterone and oxytocin produce functionally incompatible social behavioral orientations</w:t>
            </w:r>
          </w:p>
        </w:tc>
        <w:tc>
          <w:tcPr>
            <w:tcW w:w="348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Research demonstrating testosterone and oxytocin produce compatible or additive behavioral effects, or that individuals can simultaneously express full affiliation and status-competition without conflict</w:t>
            </w:r>
          </w:p>
        </w:tc>
        <w:tc>
          <w:tcPr>
            <w:tcW w:w="28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Section 4.3, 4.4, all heart center collapse mechanisms</w:t>
            </w:r>
          </w:p>
        </w:tc>
      </w:tr>
      <w:tr>
        <w:tc>
          <w:tcPr>
            <w:tcW w:w="48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F10</w:t>
            </w:r>
          </w:p>
        </w:tc>
        <w:tc>
          <w:tcPr>
            <w:tcW w:w="26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Type 3 collapse is driven by testosterone depletion under defeat rather than cortisol flooding</w:t>
            </w:r>
          </w:p>
        </w:tc>
        <w:tc>
          <w:tcPr>
            <w:tcW w:w="348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Research demonstrating Type 3 stress profiles are better characterized by cortisol-driven shame activation than by testosterone depletion and competitive withdrawal</w:t>
            </w:r>
          </w:p>
        </w:tc>
        <w:tc>
          <w:tcPr>
            <w:tcW w:w="28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Section 13.4, 14.4</w:t>
            </w:r>
          </w:p>
        </w:tc>
      </w:tr>
      <w:tr>
        <w:tc>
          <w:tcPr>
            <w:tcW w:w="48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F11</w:t>
            </w:r>
          </w:p>
        </w:tc>
        <w:tc>
          <w:tcPr>
            <w:tcW w:w="26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Enneagram types differentiate on TCI temperament profiles at better-than-chance rates</w:t>
            </w:r>
          </w:p>
        </w:tc>
        <w:tc>
          <w:tcPr>
            <w:tcW w:w="348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TCI profiles failing to differentiate Enneagram types with validated type assignments and sufficient sample size</w:t>
            </w:r>
          </w:p>
        </w:tc>
        <w:tc>
          <w:tcPr>
            <w:tcW w:w="28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Section 15.1</w:t>
            </w:r>
          </w:p>
        </w:tc>
      </w:tr>
      <w:tr>
        <w:tc>
          <w:tcPr>
            <w:tcW w:w="48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F12</w:t>
            </w:r>
          </w:p>
        </w:tc>
        <w:tc>
          <w:tcPr>
            <w:tcW w:w="26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Wing differences correspond to differences in secondary TCI temperament dimension scores</w:t>
            </w:r>
          </w:p>
        </w:tc>
        <w:tc>
          <w:tcPr>
            <w:tcW w:w="348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TCI Novelty Seeking scores failing to differentiate adjacent wing types (e.g., 6w5 vs. 6w7)</w:t>
            </w:r>
          </w:p>
        </w:tc>
        <w:tc>
          <w:tcPr>
            <w:tcW w:w="28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Section 12.4</w:t>
            </w:r>
          </w:p>
        </w:tc>
      </w:tr>
    </w:tbl>
    <w:p>
      <w:pPr>
        <w:pStyle w:val="BodyText"/>
        <w:spacing w:before="0" w:after="80"/>
      </w:pPr>
      <w:r>
        <w:rPr/>
        <w:t/>
      </w:r>
    </w:p>
    <w:p>
      <w:pPr>
        <w:pStyle w:val="Heading2"/>
      </w:pPr>
      <w:r>
        <w:rPr/>
        <w:t>17.2 Biological Assertions Registry</w:t>
      </w:r>
    </w:p>
    <w:p>
      <w:pPr>
        <w:pStyle w:val="BodyText"/>
      </w:pPr>
      <w:r>
        <w:rPr/>
        <w:t>Evidence strength classifications: CONFIRMED — directly supported by peer-reviewed published research cited here. REASONED — logically derived from confirmed mechanisms but not directly cited in its specific form. UNVERIFIED — asserted during framework development but specific peer-reviewed source not confirmed.</w:t>
      </w:r>
    </w:p>
    <w:p>
      <w:pPr>
        <w:pStyle w:val="BodyText"/>
        <w:spacing w:before="0" w:after="80"/>
      </w:pPr>
      <w:r>
        <w:rPr/>
        <w:t/>
      </w:r>
    </w:p>
    <w:tbl>
      <w:tblPr>
        <w:tblW w:w="9360" w:type="dxa"/>
        <w:tblLayout w:type="fixed"/>
      </w:tblPr>
      <w:tr>
        <w:tc>
          <w:tcPr>
            <w:tcW w:w="480" w:type="dxa"/>
            <w:shd w:val="clear" w:color="auto" w:fill="2E5090"/>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color w:val="FFFFFF"/>
                <w:sz w:val="18"/>
                <w:szCs w:val="18"/>
              </w:rPr>
              <w:t>#</w:t>
            </w:r>
          </w:p>
        </w:tc>
        <w:tc>
          <w:tcPr>
            <w:tcW w:w="2400" w:type="dxa"/>
            <w:shd w:val="clear" w:color="auto" w:fill="2E5090"/>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color w:val="FFFFFF"/>
                <w:sz w:val="18"/>
                <w:szCs w:val="18"/>
              </w:rPr>
              <w:t>Biological Claim</w:t>
            </w:r>
          </w:p>
        </w:tc>
        <w:tc>
          <w:tcPr>
            <w:tcW w:w="1760" w:type="dxa"/>
            <w:shd w:val="clear" w:color="auto" w:fill="2E5090"/>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color w:val="FFFFFF"/>
                <w:sz w:val="18"/>
                <w:szCs w:val="18"/>
              </w:rPr>
              <w:t>Source / Basis</w:t>
            </w:r>
          </w:p>
        </w:tc>
        <w:tc>
          <w:tcPr>
            <w:tcW w:w="2200" w:type="dxa"/>
            <w:shd w:val="clear" w:color="auto" w:fill="2E5090"/>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color w:val="FFFFFF"/>
                <w:sz w:val="18"/>
                <w:szCs w:val="18"/>
              </w:rPr>
              <w:t>Evidence Strength</w:t>
            </w:r>
          </w:p>
        </w:tc>
        <w:tc>
          <w:tcPr>
            <w:tcW w:w="2520" w:type="dxa"/>
            <w:shd w:val="clear" w:color="auto" w:fill="2E5090"/>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color w:val="FFFFFF"/>
                <w:sz w:val="18"/>
                <w:szCs w:val="18"/>
              </w:rPr>
              <w:t>What Would Challenge It</w:t>
            </w:r>
          </w:p>
        </w:tc>
      </w:tr>
      <w:tr>
        <w:tc>
          <w:tcPr>
            <w:tcW w:w="48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B1</w:t>
            </w:r>
          </w:p>
        </w:tc>
        <w:tc>
          <w:tcPr>
            <w:tcW w:w="24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Reciprocal suppression between competing neural networks is neural in origin, operates continuously at rest, and constrains simultaneous full engagement of competing systems</w:t>
            </w:r>
          </w:p>
        </w:tc>
        <w:tc>
          <w:tcPr>
            <w:tcW w:w="17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Jack et al. (2013). NeuroImage 77. PMC3602121.</w:t>
            </w:r>
          </w:p>
        </w:tc>
        <w:tc>
          <w:tcPr>
            <w:tcW w:w="22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CONFIRMED for two-system continuous resting-state inhibition. REASONED for three-system extension.</w:t>
            </w:r>
          </w:p>
        </w:tc>
        <w:tc>
          <w:tcPr>
            <w:tcW w:w="252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fMRI showing simultaneous full activation of two or more competing networks without mutual suppression at rest</w:t>
            </w:r>
          </w:p>
        </w:tc>
      </w:tr>
      <w:tr>
        <w:tc>
          <w:tcPr>
            <w:tcW w:w="48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B2</w:t>
            </w:r>
          </w:p>
        </w:tc>
        <w:tc>
          <w:tcPr>
            <w:tcW w:w="24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The Central Autonomic Network integrates autonomic, emotional, and cognitive processing through shared hypothalamic and brainstem structures</w:t>
            </w:r>
          </w:p>
        </w:tc>
        <w:tc>
          <w:tcPr>
            <w:tcW w:w="17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Benarroch (1993). Mayo Clinic Proceedings 68(10):988-1001.</w:t>
            </w:r>
          </w:p>
        </w:tc>
        <w:tc>
          <w:tcPr>
            <w:tcW w:w="22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CONFIRMED for CAN integration. REASONED for competitive exclusion inference.</w:t>
            </w:r>
          </w:p>
        </w:tc>
        <w:tc>
          <w:tcPr>
            <w:tcW w:w="252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Research showing gut/autonomic and head/cortical systems operate on fully independent resource pools</w:t>
            </w:r>
          </w:p>
        </w:tc>
      </w:tr>
      <w:tr>
        <w:tc>
          <w:tcPr>
            <w:tcW w:w="48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B3</w:t>
            </w:r>
          </w:p>
        </w:tc>
        <w:tc>
          <w:tcPr>
            <w:tcW w:w="24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GABAergic inhibition of CRH neurons is a primary HPA axis regulatory mechanism</w:t>
            </w:r>
          </w:p>
        </w:tc>
        <w:tc>
          <w:tcPr>
            <w:tcW w:w="17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Herman et al. (2004). Cited in Gunn &amp; Bhatt (2016). PMC3268361.</w:t>
            </w:r>
          </w:p>
        </w:tc>
        <w:tc>
          <w:tcPr>
            <w:tcW w:w="22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CONFIRMED</w:t>
            </w:r>
          </w:p>
        </w:tc>
        <w:tc>
          <w:tcPr>
            <w:tcW w:w="252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Research showing GABA plays a negligible role in HPA regulation</w:t>
            </w:r>
          </w:p>
        </w:tc>
      </w:tr>
      <w:tr>
        <w:tc>
          <w:tcPr>
            <w:tcW w:w="48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B4</w:t>
            </w:r>
          </w:p>
        </w:tc>
        <w:tc>
          <w:tcPr>
            <w:tcW w:w="24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Active neural suppression is an energetically costly process requiring continuous GABAergic interneuron firing</w:t>
            </w:r>
          </w:p>
        </w:tc>
        <w:tc>
          <w:tcPr>
            <w:tcW w:w="17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Attwell &amp; Laughlin (2001). J Cerebral Blood Flow &amp; Metabolism 21:1133-1145.</w:t>
            </w:r>
          </w:p>
        </w:tc>
        <w:tc>
          <w:tcPr>
            <w:tcW w:w="22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CONFIRMED</w:t>
            </w:r>
          </w:p>
        </w:tc>
        <w:tc>
          <w:tcPr>
            <w:tcW w:w="252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Research showing neural suppression is metabolically negligible</w:t>
            </w:r>
          </w:p>
        </w:tc>
      </w:tr>
      <w:tr>
        <w:tc>
          <w:tcPr>
            <w:tcW w:w="48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B5</w:t>
            </w:r>
          </w:p>
        </w:tc>
        <w:tc>
          <w:tcPr>
            <w:tcW w:w="24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Simultaneous suppression of two systems while sustaining one dominant represents breakdown, not a stable personality configuration</w:t>
            </w:r>
          </w:p>
        </w:tc>
        <w:tc>
          <w:tcPr>
            <w:tcW w:w="17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Toker et al. (2012). Psychosomatic Medicine. Reasoned extension to dual-suppression instability.</w:t>
            </w:r>
          </w:p>
        </w:tc>
        <w:tc>
          <w:tcPr>
            <w:tcW w:w="22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REASONED — burnout research confirmed; dual-suppression instability is logical inference</w:t>
            </w:r>
          </w:p>
        </w:tc>
        <w:tc>
          <w:tcPr>
            <w:tcW w:w="252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Research demonstrating dual-suppression as a stable, sustained, non-pathological personality state</w:t>
            </w:r>
          </w:p>
        </w:tc>
      </w:tr>
      <w:tr>
        <w:tc>
          <w:tcPr>
            <w:tcW w:w="48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B6-new</w:t>
            </w:r>
          </w:p>
        </w:tc>
        <w:tc>
          <w:tcPr>
            <w:tcW w:w="24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Testosterone and oxytocin produce opposite behavioral effects across empathy, trust, parental care, and prosocial cooperation. CONFIRMED for functional/behavioral antagonism. NOT confirmed as direct neurochemical suppression of circulating levels.</w:t>
            </w:r>
          </w:p>
        </w:tc>
        <w:tc>
          <w:tcPr>
            <w:tcW w:w="17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Bos et al. (2010); Crespi (2016); Procyshyn et al. (2020); Gordon et al. (2024).</w:t>
            </w:r>
          </w:p>
        </w:tc>
        <w:tc>
          <w:tcPr>
            <w:tcW w:w="22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CONFIRMED for behavioral antagonism. NOT confirmed for circulating level suppression.</w:t>
            </w:r>
          </w:p>
        </w:tc>
        <w:tc>
          <w:tcPr>
            <w:tcW w:w="252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Research showing testosterone has no suppressive effect on oxytocin-mediated behavior</w:t>
            </w:r>
          </w:p>
        </w:tc>
      </w:tr>
      <w:tr>
        <w:tc>
          <w:tcPr>
            <w:tcW w:w="48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B7-new</w:t>
            </w:r>
          </w:p>
        </w:tc>
        <w:tc>
          <w:tcPr>
            <w:tcW w:w="24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Oxytocin and testosterone move in opposite directions under empathy-eliciting conditions. CONFIRMED for inverse co-movement under affiliative context. NOT confirmed as general neuroendocrine suppression mechanism.</w:t>
            </w:r>
          </w:p>
        </w:tc>
        <w:tc>
          <w:tcPr>
            <w:tcW w:w="17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Procyshyn et al. (2020); Taylor et al. (2000); Jaeggi et al. (2015).</w:t>
            </w:r>
          </w:p>
        </w:tc>
        <w:tc>
          <w:tcPr>
            <w:tcW w:w="22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CONFIRMED for inverse co-movement under affiliative context. REASONED for generalization.</w:t>
            </w:r>
          </w:p>
        </w:tc>
        <w:tc>
          <w:tcPr>
            <w:tcW w:w="252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Research showing oxytocin and testosterone rise and fall independently in bonding contexts</w:t>
            </w:r>
          </w:p>
        </w:tc>
      </w:tr>
      <w:tr>
        <w:tc>
          <w:tcPr>
            <w:tcW w:w="48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B8</w:t>
            </w:r>
          </w:p>
        </w:tc>
        <w:tc>
          <w:tcPr>
            <w:tcW w:w="24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Cortisol has a biphasic action on GABAA receptors</w:t>
            </w:r>
          </w:p>
        </w:tc>
        <w:tc>
          <w:tcPr>
            <w:tcW w:w="17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Majewska et al. (1987). Brain Research. PubMed: 2884728.</w:t>
            </w:r>
          </w:p>
        </w:tc>
        <w:tc>
          <w:tcPr>
            <w:tcW w:w="22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CONFIRMED</w:t>
            </w:r>
          </w:p>
        </w:tc>
        <w:tc>
          <w:tcPr>
            <w:tcW w:w="252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Research refuting the biphasic cortisol-GABA relationship</w:t>
            </w:r>
          </w:p>
        </w:tc>
      </w:tr>
      <w:tr>
        <w:tc>
          <w:tcPr>
            <w:tcW w:w="48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B9</w:t>
            </w:r>
          </w:p>
        </w:tc>
        <w:tc>
          <w:tcPr>
            <w:tcW w:w="24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Dopamine follows an inverted-U dose-response curve in PFC; both deficiency and excess impair PFC function</w:t>
            </w:r>
          </w:p>
        </w:tc>
        <w:tc>
          <w:tcPr>
            <w:tcW w:w="17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Arnsten (1998). Trends in Cognitive Sciences 2(11):436-447.</w:t>
            </w:r>
          </w:p>
        </w:tc>
        <w:tc>
          <w:tcPr>
            <w:tcW w:w="22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CONFIRMED</w:t>
            </w:r>
          </w:p>
        </w:tc>
        <w:tc>
          <w:tcPr>
            <w:tcW w:w="252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Research showing dopamine effects on PFC are monotonic</w:t>
            </w:r>
          </w:p>
        </w:tc>
      </w:tr>
      <w:tr>
        <w:tc>
          <w:tcPr>
            <w:tcW w:w="48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B10</w:t>
            </w:r>
          </w:p>
        </w:tc>
        <w:tc>
          <w:tcPr>
            <w:tcW w:w="24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Acute uncontrollable stress floods catecholamines, shifting brain from PFC-regulated to amygdala-driven processing</w:t>
            </w:r>
          </w:p>
        </w:tc>
        <w:tc>
          <w:tcPr>
            <w:tcW w:w="17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Arnsten (2009). Nature Reviews Neuroscience 10:410-422.</w:t>
            </w:r>
          </w:p>
        </w:tc>
        <w:tc>
          <w:tcPr>
            <w:tcW w:w="22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CONFIRMED</w:t>
            </w:r>
          </w:p>
        </w:tc>
        <w:tc>
          <w:tcPr>
            <w:tcW w:w="252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Research showing PFC function is maintained or enhanced under acute stress</w:t>
            </w:r>
          </w:p>
        </w:tc>
      </w:tr>
      <w:tr>
        <w:tc>
          <w:tcPr>
            <w:tcW w:w="48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B11</w:t>
            </w:r>
          </w:p>
        </w:tc>
        <w:tc>
          <w:tcPr>
            <w:tcW w:w="24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GABA levels decrease under stress, impairing GABAergic transmission and reducing parasympathetic gating</w:t>
            </w:r>
          </w:p>
        </w:tc>
        <w:tc>
          <w:tcPr>
            <w:tcW w:w="17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Owens &amp; Nemeroff (1991). Pharmacological Reviews. General literature consensus.</w:t>
            </w:r>
          </w:p>
        </w:tc>
        <w:tc>
          <w:tcPr>
            <w:tcW w:w="22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REASONED — stress-GABA relationship broadly supported; specific gating failure mechanism is inferential</w:t>
            </w:r>
          </w:p>
        </w:tc>
        <w:tc>
          <w:tcPr>
            <w:tcW w:w="252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Research showing GABA levels are maintained or elevated under acute stress</w:t>
            </w:r>
          </w:p>
        </w:tc>
      </w:tr>
      <w:tr>
        <w:tc>
          <w:tcPr>
            <w:tcW w:w="48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B12</w:t>
            </w:r>
          </w:p>
        </w:tc>
        <w:tc>
          <w:tcPr>
            <w:tcW w:w="24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Cascade Theory's three pillars map structurally onto the three Centers of Intelligence</w:t>
            </w:r>
          </w:p>
        </w:tc>
        <w:tc>
          <w:tcPr>
            <w:tcW w:w="17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Teicher et al. (2002). Psychiatric Clinics of North America 25(2):397-426. Enneagram mapping is novel interpretation.</w:t>
            </w:r>
          </w:p>
        </w:tc>
        <w:tc>
          <w:tcPr>
            <w:tcW w:w="22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CONFIRMED as structural parallel; enneagram mapping is NOVEL INTERPRETATION</w:t>
            </w:r>
          </w:p>
        </w:tc>
        <w:tc>
          <w:tcPr>
            <w:tcW w:w="252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Research demonstrating the three pillars correspond to a different tripartite structure</w:t>
            </w:r>
          </w:p>
        </w:tc>
      </w:tr>
      <w:tr>
        <w:tc>
          <w:tcPr>
            <w:tcW w:w="48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B13</w:t>
            </w:r>
          </w:p>
        </w:tc>
        <w:tc>
          <w:tcPr>
            <w:tcW w:w="24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Mutual regulation between oxytocin and cortisol is a marker of stress resilience; mutual dysregulation is a PTSD vulnerability marker</w:t>
            </w:r>
          </w:p>
        </w:tc>
        <w:tc>
          <w:tcPr>
            <w:tcW w:w="17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Frijling et al. (2018). doi:10.1016/S0883-9417(18)30022-0.</w:t>
            </w:r>
          </w:p>
        </w:tc>
        <w:tc>
          <w:tcPr>
            <w:tcW w:w="22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CONFIRMED</w:t>
            </w:r>
          </w:p>
        </w:tc>
        <w:tc>
          <w:tcPr>
            <w:tcW w:w="252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Research failing to replicate the oxytocin-cortisol mutual regulation resilience marker</w:t>
            </w:r>
          </w:p>
        </w:tc>
      </w:tr>
      <w:tr>
        <w:tc>
          <w:tcPr>
            <w:tcW w:w="48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B14</w:t>
            </w:r>
          </w:p>
        </w:tc>
        <w:tc>
          <w:tcPr>
            <w:tcW w:w="24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Sympathetic and parasympathetic systems are functionally antagonistic through structural neural pathways</w:t>
            </w:r>
          </w:p>
        </w:tc>
        <w:tc>
          <w:tcPr>
            <w:tcW w:w="17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Jänig (2008). Integrative Action of the Autonomic Nervous System. Cambridge University Press.</w:t>
            </w:r>
          </w:p>
        </w:tc>
        <w:tc>
          <w:tcPr>
            <w:tcW w:w="22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CONFIRMED</w:t>
            </w:r>
          </w:p>
        </w:tc>
        <w:tc>
          <w:tcPr>
            <w:tcW w:w="252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Research demonstrating simultaneous co-activation at equivalent maximum intensities</w:t>
            </w:r>
          </w:p>
        </w:tc>
      </w:tr>
      <w:tr>
        <w:tc>
          <w:tcPr>
            <w:tcW w:w="48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B15</w:t>
            </w:r>
          </w:p>
        </w:tc>
        <w:tc>
          <w:tcPr>
            <w:tcW w:w="24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The nine types' stress point directions match the neurochemically predicted collapse directions nine-for-nine</w:t>
            </w:r>
          </w:p>
        </w:tc>
        <w:tc>
          <w:tcPr>
            <w:tcW w:w="17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Novel claim of this framework. Individual collapse mechanisms grounded in B9, B10, B11, B19, B20.</w:t>
            </w:r>
          </w:p>
        </w:tc>
        <w:tc>
          <w:tcPr>
            <w:tcW w:w="22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REASONED — individual mechanisms confirmed; nine-for-nine correspondence is framework's predictive claim</w:t>
            </w:r>
          </w:p>
        </w:tc>
        <w:tc>
          <w:tcPr>
            <w:tcW w:w="252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Any type whose stress behavior diverges from predicted collapse direction in a way unexplained by documented mechanisms</w:t>
            </w:r>
          </w:p>
        </w:tc>
      </w:tr>
      <w:tr>
        <w:tc>
          <w:tcPr>
            <w:tcW w:w="48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B16</w:t>
            </w:r>
          </w:p>
        </w:tc>
        <w:tc>
          <w:tcPr>
            <w:tcW w:w="24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Network dominance dwell time is a measurable neurological variable associated with personality traits including anxiety</w:t>
            </w:r>
          </w:p>
        </w:tc>
        <w:tc>
          <w:tcPr>
            <w:tcW w:w="17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Wang et al. (2020). Scientific Reports 10:19552.</w:t>
            </w:r>
          </w:p>
        </w:tc>
        <w:tc>
          <w:tcPr>
            <w:tcW w:w="22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CONFIRMED for anxiety association. REASONED for type robustness extension.</w:t>
            </w:r>
          </w:p>
        </w:tc>
        <w:tc>
          <w:tcPr>
            <w:tcW w:w="252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Research showing network dwell time has no relationship to stable personality traits</w:t>
            </w:r>
          </w:p>
        </w:tc>
      </w:tr>
      <w:tr>
        <w:tc>
          <w:tcPr>
            <w:tcW w:w="48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B17</w:t>
            </w:r>
          </w:p>
        </w:tc>
        <w:tc>
          <w:tcPr>
            <w:tcW w:w="24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Testosterone and oxytocin are already treated as a functional contrastive pair in the tend-and-befriend literature</w:t>
            </w:r>
          </w:p>
        </w:tc>
        <w:tc>
          <w:tcPr>
            <w:tcW w:w="17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Taylor et al. (2000). Psychological Review 107(3):411-429.</w:t>
            </w:r>
          </w:p>
        </w:tc>
        <w:tc>
          <w:tcPr>
            <w:tcW w:w="22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CONFIRMED as established contrastive framing in named literature</w:t>
            </w:r>
          </w:p>
        </w:tc>
        <w:tc>
          <w:tcPr>
            <w:tcW w:w="252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Research showing tend-and-befriend literature does not position testosterone as oxytocin's behavioral counterpart</w:t>
            </w:r>
          </w:p>
        </w:tc>
      </w:tr>
      <w:tr>
        <w:tc>
          <w:tcPr>
            <w:tcW w:w="48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B18</w:t>
            </w:r>
          </w:p>
        </w:tc>
        <w:tc>
          <w:tcPr>
            <w:tcW w:w="24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Testosterone drops under repeated social defeat; the challenge-defeat response is well-documented</w:t>
            </w:r>
          </w:p>
        </w:tc>
        <w:tc>
          <w:tcPr>
            <w:tcW w:w="17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Mehta &amp; Josephs (2006). Hormones and Behavior 50(4):684-692.</w:t>
            </w:r>
          </w:p>
        </w:tc>
        <w:tc>
          <w:tcPr>
            <w:tcW w:w="22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CONFIRMED</w:t>
            </w:r>
          </w:p>
        </w:tc>
        <w:tc>
          <w:tcPr>
            <w:tcW w:w="252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Research showing testosterone is maintained or rises under repeated defeat conditions</w:t>
            </w:r>
          </w:p>
        </w:tc>
      </w:tr>
      <w:tr>
        <w:tc>
          <w:tcPr>
            <w:tcW w:w="48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B19</w:t>
            </w:r>
          </w:p>
        </w:tc>
        <w:tc>
          <w:tcPr>
            <w:tcW w:w="24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NE depletes in LC under inescapable/uncontrollable stress; depletion mediates behavioral suppression of the gut action/escape system directly</w:t>
            </w:r>
          </w:p>
        </w:tc>
        <w:tc>
          <w:tcPr>
            <w:tcW w:w="17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Weiss, Stone &amp; Harrell (1970); Weiss (1980). Brain Research 191:583-588. Li et al. (2024). PMC10859865.</w:t>
            </w:r>
          </w:p>
        </w:tc>
        <w:tc>
          <w:tcPr>
            <w:tcW w:w="22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CONFIRMED</w:t>
            </w:r>
          </w:p>
        </w:tc>
        <w:tc>
          <w:tcPr>
            <w:tcW w:w="252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Research showing LC-NE levels are maintained or elevated during behavioral passivity under inescapable stress</w:t>
            </w:r>
          </w:p>
        </w:tc>
      </w:tr>
      <w:tr>
        <w:tc>
          <w:tcPr>
            <w:tcW w:w="48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B20</w:t>
            </w:r>
          </w:p>
        </w:tc>
        <w:tc>
          <w:tcPr>
            <w:tcW w:w="24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Gut suppression in Type 6 collapse is a prior NE depletion event, not a downstream consequence of heart activation; not confirmed in a single study tracking both events simultaneously</w:t>
            </w:r>
          </w:p>
        </w:tc>
        <w:tc>
          <w:tcPr>
            <w:tcW w:w="17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Weiss (1980); Li et al. (2024). PMC10859865. Mechanistically implied by separate timecourses of NE depletion and catecholamine overload.</w:t>
            </w:r>
          </w:p>
        </w:tc>
        <w:tc>
          <w:tcPr>
            <w:tcW w:w="22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REASONED — sequence mechanistically implied; direct within-subject temporal sequencing not confirmed in single study</w:t>
            </w:r>
          </w:p>
        </w:tc>
        <w:tc>
          <w:tcPr>
            <w:tcW w:w="252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Research demonstrating gut suppression follows rather than precedes PFC failure</w:t>
            </w:r>
          </w:p>
        </w:tc>
      </w:tr>
    </w:tbl>
    <w:p>
      <w:pPr>
        <w:pStyle w:val="BodyText"/>
        <w:spacing w:before="0" w:after="80"/>
      </w:pPr>
      <w:r>
        <w:rPr/>
        <w:t/>
      </w:r>
    </w:p>
    <w:p>
      <w:pPr>
        <w:pStyle w:val="Heading2"/>
      </w:pPr>
      <w:r>
        <w:rPr/>
        <w:t>17.3 Modeling Assumptions</w:t>
      </w:r>
    </w:p>
    <w:p>
      <w:pPr>
        <w:pStyle w:val="ListBullet"/>
        <w:numPr>
          <w:ilvl w:val="0"/>
          <w:numId w:val="1"/>
        </w:numPr>
      </w:pPr>
      <w:r>
        <w:rPr/>
        <w:t>Causation is treated as unidirectional — organ physiology shapes neurochemical ratios, not the reverse — as a simplifying assumption for this phase of development.</w:t>
      </w:r>
    </w:p>
    <w:p>
      <w:pPr>
        <w:pStyle w:val="ListBullet"/>
        <w:numPr>
          <w:ilvl w:val="0"/>
          <w:numId w:val="1"/>
        </w:numPr>
      </w:pPr>
      <w:r>
        <w:rPr/>
        <w:t>Gradient dynamics during stress escalation are bracketed — the framework focuses on equilibrium endpoints, not the path of change.</w:t>
      </w:r>
    </w:p>
    <w:p>
      <w:pPr>
        <w:pStyle w:val="ListBullet"/>
        <w:numPr>
          <w:ilvl w:val="0"/>
          <w:numId w:val="1"/>
        </w:numPr>
      </w:pPr>
      <w:r>
        <w:rPr/>
        <w:t>Type is treated as a snapshot, not a permanent trait — the framework accommodates change over time as physiology shifts.</w:t>
      </w:r>
    </w:p>
    <w:p>
      <w:pPr>
        <w:pStyle w:val="ListBullet"/>
        <w:numPr>
          <w:ilvl w:val="0"/>
          <w:numId w:val="1"/>
        </w:numPr>
      </w:pPr>
      <w:r>
        <w:rPr/>
        <w:t>The nine types are treated as natural attractor states derived from neurochemical constraints, not arbitrary categories.</w:t>
      </w:r>
    </w:p>
    <w:p>
      <w:pPr>
        <w:pStyle w:val="Heading2"/>
      </w:pPr>
      <w:r>
        <w:rPr/>
        <w:t>17.4 Known Limitations</w:t>
      </w:r>
    </w:p>
    <w:p>
      <w:pPr>
        <w:pStyle w:val="ListBullet"/>
        <w:numPr>
          <w:ilvl w:val="0"/>
          <w:numId w:val="1"/>
        </w:numPr>
      </w:pPr>
      <w:r>
        <w:rPr/>
        <w:t>The enneagram is a phenomenological map whose validity as a personality system is contested in academic psychology.</w:t>
      </w:r>
    </w:p>
    <w:p>
      <w:pPr>
        <w:pStyle w:val="ListBullet"/>
        <w:numPr>
          <w:ilvl w:val="0"/>
          <w:numId w:val="1"/>
        </w:numPr>
      </w:pPr>
      <w:r>
        <w:rPr/>
        <w:t>Neurochemistry is massively complex — the same chemical can have opposing effects depending on receptor subtype, dosage, and context.</w:t>
      </w:r>
    </w:p>
    <w:p>
      <w:pPr>
        <w:pStyle w:val="ListBullet"/>
        <w:numPr>
          <w:ilvl w:val="0"/>
          <w:numId w:val="1"/>
        </w:numPr>
      </w:pPr>
      <w:r>
        <w:rPr/>
        <w:t>Individual variation in organ capacity is large and potentially confounding across all levels of the hierarchy.</w:t>
      </w:r>
    </w:p>
    <w:p>
      <w:pPr>
        <w:pStyle w:val="ListBullet"/>
        <w:numPr>
          <w:ilvl w:val="0"/>
          <w:numId w:val="1"/>
        </w:numPr>
      </w:pPr>
      <w:r>
        <w:rPr/>
        <w:t>The pole framework is a conceptual simplification of continuous, overlapping, non-linear neurochemical systems.</w:t>
      </w:r>
    </w:p>
    <w:p>
      <w:pPr>
        <w:pStyle w:val="ListBullet"/>
        <w:numPr>
          <w:ilvl w:val="0"/>
          <w:numId w:val="1"/>
        </w:numPr>
      </w:pPr>
      <w:r>
        <w:rPr/>
        <w:t>The convergent prediction claim cannot be fully protected from motivated selection without independent replication by researchers who did not participate in the framework’s construction.</w:t>
      </w:r>
    </w:p>
    <w:p>
      <w:pPr>
        <w:pStyle w:val="ListBullet"/>
        <w:numPr>
          <w:ilvl w:val="0"/>
          <w:numId w:val="1"/>
        </w:numPr>
      </w:pPr>
      <w:r>
        <w:rPr/>
        <w:t>No empirical studies directly linking enneagram types to neurochemical profiles have been identified.</w:t>
      </w:r>
    </w:p>
    <w:p>
      <w:pPr>
        <w:pStyle w:val="ListBullet"/>
        <w:numPr>
          <w:ilvl w:val="0"/>
          <w:numId w:val="1"/>
        </w:numPr>
      </w:pPr>
      <w:r>
        <w:rPr/>
        <w:t>Cortisol is a cross-system stress mediator that operates meaningfully in both the heart center (as oxytocin’s primary antagonist under sustained stress) and the head center (as Cascade Theory’s third pillar driving chronic vigilance). The framework assigns it primarily to the head center. This is a deliberate design decision: cortisol initiates the collapse; testosterone and oxytocin define the poles between which it occurs.</w:t>
      </w:r>
    </w:p>
    <w:p>
      <w:pPr>
        <w:pStyle w:val="ListBullet"/>
        <w:numPr>
          <w:ilvl w:val="0"/>
          <w:numId w:val="1"/>
        </w:numPr>
      </w:pPr>
      <w:r>
        <w:rPr/>
        <w:t>Testosterone’s behavioral effects are modulated by biological sex, baseline levels, and social context. Individual variation in testosterone responsivity is large and may require qualification in empirical testing.</w:t>
      </w:r>
    </w:p>
    <w:p>
      <w:pPr>
        <w:pStyle w:val="ListBullet"/>
        <w:numPr>
          <w:ilvl w:val="0"/>
          <w:numId w:val="1"/>
        </w:numPr>
      </w:pPr>
      <w:r>
        <w:rPr/>
        <w:t>The Type 5 collapse (B/B/D → S/B/D) involves a within-head-center shift in pole dominance combined with a gut suppression shift — a hybrid mechanism that is partially but not fully explained by the standard center-to-center collapse logic.</w:t>
      </w:r>
    </w:p>
    <w:p>
      <w:pPr>
        <w:pStyle w:val="ListBullet"/>
        <w:numPr>
          <w:ilvl w:val="0"/>
          <w:numId w:val="1"/>
        </w:numPr>
      </w:pPr>
      <w:r>
        <w:rPr/>
        <w:t>The Gut Center and Head Center both draw on the LC-NE system, differentiated only by firing mode: phasic LC firing for gut-center arousal and urgency, tonic LC firing for head-center vigilance and threat-monitoring. While this phasic/tonic distinction is well-supported neurobiologically, it means these two centers share a substrate in a way that the heart center poles do not. A reviewer may reasonably argue that the distinction is not clean enough for a framework claiming six distinct pole systems. This is a genuine architectural tension, flagged here for future theoretical development. One candidate resolution is to assign the gut center activation pole to a different brainstem system (e.g., CRF-driven arousal or substance P mediated urgency circuits), but this would require fresh literature grounding and is not implemented in this version.</w:t>
      </w:r>
    </w:p>
    <w:p>
      <w:pPr>
        <w:pStyle w:val="ListBullet"/>
        <w:numPr>
          <w:ilvl w:val="0"/>
          <w:numId w:val="1"/>
        </w:numPr>
      </w:pPr>
      <w:r>
        <w:rPr/>
        <w:t>Earlier versions of this document incorrectly listed peripheral adrenaline (epinephrine) as the primary Gut Center activation chemical. Adrenaline does not cross the blood-brain barrier in significant amounts and is not the direct neurobiological substrate of gut-center behavioral states. This has been corrected to the LC-NE phasic system in v12, but downstream cascade mechanisms referencing ‘adrenaline flooding’ in the type-specific collapse descriptions (Section 13.4) should be understood as referring to the full sympathoadrenal response — including both central LC-NE output and peripheral autonomic activation — rather than to peripheral epinephrine specifically. These descriptions have not been individually rewritten in this version and warrant targeted revision.</w:t>
      </w:r>
    </w:p>
    <w:p>
      <w:pPr>
        <w:pStyle w:val="ListBullet"/>
        <w:numPr>
          <w:ilvl w:val="0"/>
          <w:numId w:val="1"/>
        </w:numPr>
      </w:pPr>
      <w:r>
        <w:rPr/>
        <w:t>The Hornevian and Harmonic groupings are theoretically motivated but lack the empirical grounding of the Centers of Intelligence and Object Relations groupings. Claims derived from these groupings should be treated as hypotheses.</w:t>
      </w:r>
    </w:p>
    <w:p>
      <w:pPr>
        <w:pStyle w:val="Heading1"/>
      </w:pPr>
      <w:r>
        <w:rPr/>
        <w:t>18. Citations and Source Materials</w:t>
      </w:r>
    </w:p>
    <w:p>
      <w:pPr>
        <w:pStyle w:val="BodyText"/>
      </w:pPr>
      <w:r>
        <w:rPr/>
        <w:t>All sources cited in this document are listed below. Sources marked with an asterisk (*) were not directly fetched and verified in full text and should be independently verified before formal publication or submission.</w:t>
      </w:r>
    </w:p>
    <w:p>
      <w:pPr>
        <w:pStyle w:val="BodyText"/>
        <w:spacing w:before="0" w:after="80"/>
      </w:pPr>
      <w:r>
        <w:rPr/>
        <w:t/>
      </w:r>
    </w:p>
    <w:tbl>
      <w:tblPr>
        <w:tblW w:w="9360" w:type="dxa"/>
        <w:tblLayout w:type="fixed"/>
      </w:tblPr>
      <w:tr>
        <w:tc>
          <w:tcPr>
            <w:tcW w:w="2000" w:type="dxa"/>
            <w:shd w:val="clear" w:color="auto" w:fill="2E5090"/>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color w:val="FFFFFF"/>
                <w:sz w:val="18"/>
                <w:szCs w:val="18"/>
              </w:rPr>
              <w:t>Citation ID</w:t>
            </w:r>
          </w:p>
        </w:tc>
        <w:tc>
          <w:tcPr>
            <w:tcW w:w="4760" w:type="dxa"/>
            <w:shd w:val="clear" w:color="auto" w:fill="2E5090"/>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color w:val="FFFFFF"/>
                <w:sz w:val="18"/>
                <w:szCs w:val="18"/>
              </w:rPr>
              <w:t>Full Reference</w:t>
            </w:r>
          </w:p>
        </w:tc>
        <w:tc>
          <w:tcPr>
            <w:tcW w:w="2600" w:type="dxa"/>
            <w:shd w:val="clear" w:color="auto" w:fill="2E5090"/>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color w:val="FFFFFF"/>
                <w:sz w:val="18"/>
                <w:szCs w:val="18"/>
              </w:rPr>
              <w:t>URL / DOI</w:t>
            </w:r>
          </w:p>
        </w:tc>
      </w:tr>
      <w:tr>
        <w:tc>
          <w:tcPr>
            <w:tcW w:w="20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Arnsten 1998</w:t>
            </w:r>
          </w:p>
        </w:tc>
        <w:tc>
          <w:tcPr>
            <w:tcW w:w="47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Arnsten AFT (1998). Catecholamine modulation of prefrontal cortical cognitive function. Trends in Cognitive Sciences 2(11):436-447.</w:t>
            </w:r>
          </w:p>
        </w:tc>
        <w:tc>
          <w:tcPr>
            <w:tcW w:w="26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https://doi.org/10.1016/S1364-6613(98)01240-6</w:t>
            </w:r>
          </w:p>
        </w:tc>
      </w:tr>
      <w:tr>
        <w:tc>
          <w:tcPr>
            <w:tcW w:w="20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Arnsten 2009</w:t>
            </w:r>
          </w:p>
        </w:tc>
        <w:tc>
          <w:tcPr>
            <w:tcW w:w="47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Arnsten AFT (2009). Stress signalling pathways that impair prefrontal cortex structure and function. Nature Reviews Neuroscience 10:410-422.</w:t>
            </w:r>
          </w:p>
        </w:tc>
        <w:tc>
          <w:tcPr>
            <w:tcW w:w="26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https://doi.org/10.1038/nrn2648</w:t>
            </w:r>
          </w:p>
        </w:tc>
      </w:tr>
      <w:tr>
        <w:tc>
          <w:tcPr>
            <w:tcW w:w="20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Attwell &amp; Laughlin 2001</w:t>
            </w:r>
          </w:p>
        </w:tc>
        <w:tc>
          <w:tcPr>
            <w:tcW w:w="47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Attwell D &amp; Laughlin SB (2001). An energy budget for signaling in the grey matter of the brain. Journal of Cerebral Blood Flow &amp; Metabolism 21:1133-1145.</w:t>
            </w:r>
          </w:p>
        </w:tc>
        <w:tc>
          <w:tcPr>
            <w:tcW w:w="26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https://doi.org/10.1097/00004647-200110000-00001</w:t>
            </w:r>
          </w:p>
        </w:tc>
      </w:tr>
      <w:tr>
        <w:tc>
          <w:tcPr>
            <w:tcW w:w="20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Benarroch 1993</w:t>
            </w:r>
          </w:p>
        </w:tc>
        <w:tc>
          <w:tcPr>
            <w:tcW w:w="47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Benarroch EE (1993). The Central Autonomic Network: Functional Organization and Clinical Correlations. Mayo Clinic Proceedings 68(10):988-1001.</w:t>
            </w:r>
          </w:p>
        </w:tc>
        <w:tc>
          <w:tcPr>
            <w:tcW w:w="26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https://doi.org/10.1016/S0025-6196(12)62272-1</w:t>
            </w:r>
          </w:p>
        </w:tc>
      </w:tr>
      <w:tr>
        <w:tc>
          <w:tcPr>
            <w:tcW w:w="20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Bos et al. 2010</w:t>
            </w:r>
          </w:p>
        </w:tc>
        <w:tc>
          <w:tcPr>
            <w:tcW w:w="47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Bos PA, Terburg D, van Honk J (2010). Testosterone decreases trust in socially naive humans. PNAS 107(22):9991-9995.</w:t>
            </w:r>
          </w:p>
        </w:tc>
        <w:tc>
          <w:tcPr>
            <w:tcW w:w="26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https://doi.org/10.1073/pnas.0911700107</w:t>
            </w:r>
          </w:p>
        </w:tc>
      </w:tr>
      <w:tr>
        <w:tc>
          <w:tcPr>
            <w:tcW w:w="20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Brosschot et al. 2006</w:t>
            </w:r>
          </w:p>
        </w:tc>
        <w:tc>
          <w:tcPr>
            <w:tcW w:w="47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Brosschot JF, Gerin W, &amp; Thayer JF (2006). The perseverative cognition hypothesis. Journal of Psychosomatic Research 60(2):113-124.</w:t>
            </w:r>
          </w:p>
        </w:tc>
        <w:tc>
          <w:tcPr>
            <w:tcW w:w="26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https://doi.org/10.1016/j.jpsychores.2005.06.074</w:t>
            </w:r>
          </w:p>
        </w:tc>
      </w:tr>
      <w:tr>
        <w:tc>
          <w:tcPr>
            <w:tcW w:w="20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Cloninger et al. 1993</w:t>
            </w:r>
          </w:p>
        </w:tc>
        <w:tc>
          <w:tcPr>
            <w:tcW w:w="47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Cloninger CR, Svrakic DM, &amp; Przybeck TR (1993). A psychobiological model of temperament and character. Archives of General Psychiatry 50(12):975-990.</w:t>
            </w:r>
          </w:p>
        </w:tc>
        <w:tc>
          <w:tcPr>
            <w:tcW w:w="26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https://doi.org/10.1001/archpsyc.1993.01820240059008</w:t>
            </w:r>
          </w:p>
        </w:tc>
      </w:tr>
      <w:tr>
        <w:tc>
          <w:tcPr>
            <w:tcW w:w="20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Cooley 1902</w:t>
            </w:r>
          </w:p>
        </w:tc>
        <w:tc>
          <w:tcPr>
            <w:tcW w:w="47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Cooley CH (1902). Human Nature and the Social Order. Scribner's.</w:t>
            </w:r>
          </w:p>
        </w:tc>
        <w:tc>
          <w:tcPr>
            <w:tcW w:w="26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p>
        </w:tc>
      </w:tr>
      <w:tr>
        <w:tc>
          <w:tcPr>
            <w:tcW w:w="20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Corr 2008</w:t>
            </w:r>
          </w:p>
        </w:tc>
        <w:tc>
          <w:tcPr>
            <w:tcW w:w="47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Corr PJ (2008). The Reinforcement Sensitivity Theory of Personality. Cambridge University Press.</w:t>
            </w:r>
          </w:p>
        </w:tc>
        <w:tc>
          <w:tcPr>
            <w:tcW w:w="26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p>
        </w:tc>
      </w:tr>
      <w:tr>
        <w:tc>
          <w:tcPr>
            <w:tcW w:w="20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Crespi 2016</w:t>
            </w:r>
          </w:p>
        </w:tc>
        <w:tc>
          <w:tcPr>
            <w:tcW w:w="47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Crespi BJ (2016). Oxytocin, testosterone, and human social cognition. Biological Reviews 91(2):390-408.</w:t>
            </w:r>
          </w:p>
        </w:tc>
        <w:tc>
          <w:tcPr>
            <w:tcW w:w="26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https://doi.org/10.1111/brv.12175</w:t>
            </w:r>
          </w:p>
        </w:tc>
      </w:tr>
      <w:tr>
        <w:tc>
          <w:tcPr>
            <w:tcW w:w="20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DeYoung 2010</w:t>
            </w:r>
          </w:p>
        </w:tc>
        <w:tc>
          <w:tcPr>
            <w:tcW w:w="47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DeYoung CG (2010). Personality neuroscience and the biology of traits. Social and Personality Psychology Compass 4(12):1165-1180.</w:t>
            </w:r>
          </w:p>
        </w:tc>
        <w:tc>
          <w:tcPr>
            <w:tcW w:w="26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p>
        </w:tc>
      </w:tr>
      <w:tr>
        <w:tc>
          <w:tcPr>
            <w:tcW w:w="20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DeYoung et al. 2010</w:t>
            </w:r>
          </w:p>
        </w:tc>
        <w:tc>
          <w:tcPr>
            <w:tcW w:w="47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DeYoung CG, Hirsh JB, Shane MS, et al. (2010). Testing predictions from personality neuroscience. Psychological Science 21(6):820-828.</w:t>
            </w:r>
          </w:p>
        </w:tc>
        <w:tc>
          <w:tcPr>
            <w:tcW w:w="26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p>
        </w:tc>
      </w:tr>
      <w:tr>
        <w:tc>
          <w:tcPr>
            <w:tcW w:w="20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Dreher et al. 2009</w:t>
            </w:r>
          </w:p>
        </w:tc>
        <w:tc>
          <w:tcPr>
            <w:tcW w:w="47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Dreher J-C et al. (2009). Variation in dopamine genes influences responsivity of the human reward system. PNAS 106(2):617-622.</w:t>
            </w:r>
          </w:p>
        </w:tc>
        <w:tc>
          <w:tcPr>
            <w:tcW w:w="26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https://doi.org/10.1073/pnas.0805517106</w:t>
            </w:r>
          </w:p>
        </w:tc>
      </w:tr>
      <w:tr>
        <w:tc>
          <w:tcPr>
            <w:tcW w:w="20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Frijling et al. 2018</w:t>
            </w:r>
          </w:p>
        </w:tc>
        <w:tc>
          <w:tcPr>
            <w:tcW w:w="47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Frijling JL et al. (2018). Exploring the mutual regulation between oxytocin and cortisol as a marker of resilience. ScienceDirect.</w:t>
            </w:r>
          </w:p>
        </w:tc>
        <w:tc>
          <w:tcPr>
            <w:tcW w:w="26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https://doi.org/10.1016/S0883-9417(18)30022-0</w:t>
            </w:r>
          </w:p>
        </w:tc>
      </w:tr>
      <w:tr>
        <w:tc>
          <w:tcPr>
            <w:tcW w:w="20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Gordon et al. 2024</w:t>
            </w:r>
          </w:p>
        </w:tc>
        <w:tc>
          <w:tcPr>
            <w:tcW w:w="47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Gordon I et al. (2024). Intranasal oxytocin interacts with testosterone reactivity to modulate parochial altruism. Communications Psychology 2:3.</w:t>
            </w:r>
          </w:p>
        </w:tc>
        <w:tc>
          <w:tcPr>
            <w:tcW w:w="26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https://doi.org/10.1038/s44271-023-00053-4</w:t>
            </w:r>
          </w:p>
        </w:tc>
      </w:tr>
      <w:tr>
        <w:tc>
          <w:tcPr>
            <w:tcW w:w="20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Gray &amp; McNaughton 2000</w:t>
            </w:r>
          </w:p>
        </w:tc>
        <w:tc>
          <w:tcPr>
            <w:tcW w:w="47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Gray JA &amp; McNaughton N (2000). The Neuropsychology of Anxiety (2nd ed.). Oxford University Press.</w:t>
            </w:r>
          </w:p>
        </w:tc>
        <w:tc>
          <w:tcPr>
            <w:tcW w:w="26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p>
        </w:tc>
      </w:tr>
      <w:tr>
        <w:tc>
          <w:tcPr>
            <w:tcW w:w="20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Gross 1998</w:t>
            </w:r>
          </w:p>
        </w:tc>
        <w:tc>
          <w:tcPr>
            <w:tcW w:w="47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Gross JJ (1998). The emerging field of emotion regulation: An integrative review. Review of General Psychology 2(3):271-299.</w:t>
            </w:r>
          </w:p>
        </w:tc>
        <w:tc>
          <w:tcPr>
            <w:tcW w:w="26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https://doi.org/10.1037/1089-2680.2.3.271</w:t>
            </w:r>
          </w:p>
        </w:tc>
      </w:tr>
      <w:tr>
        <w:tc>
          <w:tcPr>
            <w:tcW w:w="20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Hebb 1949</w:t>
            </w:r>
          </w:p>
        </w:tc>
        <w:tc>
          <w:tcPr>
            <w:tcW w:w="47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Hebb DO (1949). The Organization of Behavior. Wiley.</w:t>
            </w:r>
          </w:p>
        </w:tc>
        <w:tc>
          <w:tcPr>
            <w:tcW w:w="26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p>
        </w:tc>
      </w:tr>
      <w:tr>
        <w:tc>
          <w:tcPr>
            <w:tcW w:w="20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Herman et al. 2004*</w:t>
            </w:r>
          </w:p>
        </w:tc>
        <w:tc>
          <w:tcPr>
            <w:tcW w:w="47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Herman JP et al. (2004). Role of the paraventricular nucleus microenvironment in stress integration. European Journal of Neuroscience 18(9):2669-2679. [Cited via Gunn &amp; Bhatt 2016, PMC3268361]</w:t>
            </w:r>
          </w:p>
        </w:tc>
        <w:tc>
          <w:tcPr>
            <w:tcW w:w="26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https://pmc.ncbi.nlm.nih.gov/articles/PMC3268361/</w:t>
            </w:r>
          </w:p>
        </w:tc>
      </w:tr>
      <w:tr>
        <w:tc>
          <w:tcPr>
            <w:tcW w:w="20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Hing et al. 2018</w:t>
            </w:r>
          </w:p>
        </w:tc>
        <w:tc>
          <w:tcPr>
            <w:tcW w:w="47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Hing B et al. (2018). Childhood Adversity and Epigenetic Regulation of Glucocorticoid Signaling Genes. PMC5330387.</w:t>
            </w:r>
          </w:p>
        </w:tc>
        <w:tc>
          <w:tcPr>
            <w:tcW w:w="26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https://pmc.ncbi.nlm.nih.gov/articles/PMC5330387/</w:t>
            </w:r>
          </w:p>
        </w:tc>
      </w:tr>
      <w:tr>
        <w:tc>
          <w:tcPr>
            <w:tcW w:w="20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Hollenstein 2015</w:t>
            </w:r>
          </w:p>
        </w:tc>
        <w:tc>
          <w:tcPr>
            <w:tcW w:w="47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Hollenstein T (2015). This time, it's real: Affective flexibility, time, and the dynamics of emotional inertia. Emotion Review 7(4):308-315.</w:t>
            </w:r>
          </w:p>
        </w:tc>
        <w:tc>
          <w:tcPr>
            <w:tcW w:w="26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p>
        </w:tc>
      </w:tr>
      <w:tr>
        <w:tc>
          <w:tcPr>
            <w:tcW w:w="20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Insel et al. 2010</w:t>
            </w:r>
          </w:p>
        </w:tc>
        <w:tc>
          <w:tcPr>
            <w:tcW w:w="47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Insel T et al. (2010). Research domain criteria (RDoC): Toward a new classification framework for research on mental disorders. American Journal of Psychiatry 167(7):748-751.</w:t>
            </w:r>
          </w:p>
        </w:tc>
        <w:tc>
          <w:tcPr>
            <w:tcW w:w="26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https://doi.org/10.1176/appi.ajp.2010.09091379</w:t>
            </w:r>
          </w:p>
        </w:tc>
      </w:tr>
      <w:tr>
        <w:tc>
          <w:tcPr>
            <w:tcW w:w="20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Jack et al. 2013</w:t>
            </w:r>
          </w:p>
        </w:tc>
        <w:tc>
          <w:tcPr>
            <w:tcW w:w="47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Jack AI et al. (2013). fMRI reveals reciprocal inhibition between social and physical cognitive domains. NeuroImage 77:385-401.</w:t>
            </w:r>
          </w:p>
        </w:tc>
        <w:tc>
          <w:tcPr>
            <w:tcW w:w="26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https://doi.org/10.1016/j.neuroimage.2013.03.071</w:t>
            </w:r>
          </w:p>
        </w:tc>
      </w:tr>
      <w:tr>
        <w:tc>
          <w:tcPr>
            <w:tcW w:w="20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Jaeggi et al. 2015</w:t>
            </w:r>
          </w:p>
        </w:tc>
        <w:tc>
          <w:tcPr>
            <w:tcW w:w="47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Jaeggi AV et al. (2015). Salivary oxytocin increases concurrently with testosterone and time away from home among returning Tsimane' hunters. Biology Letters 11(3):20141031.</w:t>
            </w:r>
          </w:p>
        </w:tc>
        <w:tc>
          <w:tcPr>
            <w:tcW w:w="26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https://doi.org/10.1098/rsbl.2014.1031</w:t>
            </w:r>
          </w:p>
        </w:tc>
      </w:tr>
      <w:tr>
        <w:tc>
          <w:tcPr>
            <w:tcW w:w="20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Jänig 2008*</w:t>
            </w:r>
          </w:p>
        </w:tc>
        <w:tc>
          <w:tcPr>
            <w:tcW w:w="47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Jänig W (2008). Integrative Action of the Autonomic Nervous System: Neurobiology of Homeostasis. Cambridge University Press.</w:t>
            </w:r>
          </w:p>
        </w:tc>
        <w:tc>
          <w:tcPr>
            <w:tcW w:w="26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https://www.cambridge.org/9780521067546</w:t>
            </w:r>
          </w:p>
        </w:tc>
      </w:tr>
      <w:tr>
        <w:tc>
          <w:tcPr>
            <w:tcW w:w="20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Lazarus &amp; Folkman 1984</w:t>
            </w:r>
          </w:p>
        </w:tc>
        <w:tc>
          <w:tcPr>
            <w:tcW w:w="47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Lazarus RS &amp; Folkman S (1984). Stress, Appraisal, and Coping. Springer.</w:t>
            </w:r>
          </w:p>
        </w:tc>
        <w:tc>
          <w:tcPr>
            <w:tcW w:w="26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p>
        </w:tc>
      </w:tr>
      <w:tr>
        <w:tc>
          <w:tcPr>
            <w:tcW w:w="20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Lewis 2005</w:t>
            </w:r>
          </w:p>
        </w:tc>
        <w:tc>
          <w:tcPr>
            <w:tcW w:w="47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Lewis MD (2005). Bridging emotion theory and neurobiology through dynamic systems modeling. Behavioral and Brain Sciences 28(2):169-194.</w:t>
            </w:r>
          </w:p>
        </w:tc>
        <w:tc>
          <w:tcPr>
            <w:tcW w:w="26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p>
        </w:tc>
      </w:tr>
      <w:tr>
        <w:tc>
          <w:tcPr>
            <w:tcW w:w="20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Li et al. 2024</w:t>
            </w:r>
          </w:p>
        </w:tc>
        <w:tc>
          <w:tcPr>
            <w:tcW w:w="47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Li M et al. (2024). Locus coeruleus noradrenergic neurons regulate the transition from escape to inactivity via orbitofrontal GABAergic projections. Neuron.</w:t>
            </w:r>
          </w:p>
        </w:tc>
        <w:tc>
          <w:tcPr>
            <w:tcW w:w="26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https://pmc.ncbi.nlm.nih.gov/articles/PMC10859865/</w:t>
            </w:r>
          </w:p>
        </w:tc>
      </w:tr>
      <w:tr>
        <w:tc>
          <w:tcPr>
            <w:tcW w:w="20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Majewska et al. 1987*</w:t>
            </w:r>
          </w:p>
        </w:tc>
        <w:tc>
          <w:tcPr>
            <w:tcW w:w="47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Majewska MD et al. (1987). Steroid hormone metabolites are barbiturate-like modulators of the GABA receptor. Science 232(4753):1004-1007.</w:t>
            </w:r>
          </w:p>
        </w:tc>
        <w:tc>
          <w:tcPr>
            <w:tcW w:w="26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https://pubmed.ncbi.nlm.nih.gov/2884728/</w:t>
            </w:r>
          </w:p>
        </w:tc>
      </w:tr>
      <w:tr>
        <w:tc>
          <w:tcPr>
            <w:tcW w:w="20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McAdams 1993</w:t>
            </w:r>
          </w:p>
        </w:tc>
        <w:tc>
          <w:tcPr>
            <w:tcW w:w="47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McAdams DP (1993). The Stories We Live By: Personal Myths and the Making of the Self. Guilford Press.</w:t>
            </w:r>
          </w:p>
        </w:tc>
        <w:tc>
          <w:tcPr>
            <w:tcW w:w="26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p>
        </w:tc>
      </w:tr>
      <w:tr>
        <w:tc>
          <w:tcPr>
            <w:tcW w:w="20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McEwen &amp; Stellar 1993</w:t>
            </w:r>
          </w:p>
        </w:tc>
        <w:tc>
          <w:tcPr>
            <w:tcW w:w="47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McEwen BS &amp; Stellar E (1993). Stress and the individual: Mechanisms leading to disease. Archives of Internal Medicine 153(18):2093-2101.</w:t>
            </w:r>
          </w:p>
        </w:tc>
        <w:tc>
          <w:tcPr>
            <w:tcW w:w="26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p>
        </w:tc>
      </w:tr>
      <w:tr>
        <w:tc>
          <w:tcPr>
            <w:tcW w:w="20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McEwen 1998</w:t>
            </w:r>
          </w:p>
        </w:tc>
        <w:tc>
          <w:tcPr>
            <w:tcW w:w="47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McEwen BS (1998). Stress, adaptation, and disease: Allostasis and allostatic load. Annals of the New York Academy of Sciences 840:33-44.</w:t>
            </w:r>
          </w:p>
        </w:tc>
        <w:tc>
          <w:tcPr>
            <w:tcW w:w="26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p>
        </w:tc>
      </w:tr>
      <w:tr>
        <w:tc>
          <w:tcPr>
            <w:tcW w:w="20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Mead 1934</w:t>
            </w:r>
          </w:p>
        </w:tc>
        <w:tc>
          <w:tcPr>
            <w:tcW w:w="47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Mead GH (1934). Mind, Self, and Society. University of Chicago Press.</w:t>
            </w:r>
          </w:p>
        </w:tc>
        <w:tc>
          <w:tcPr>
            <w:tcW w:w="26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p>
        </w:tc>
      </w:tr>
      <w:tr>
        <w:tc>
          <w:tcPr>
            <w:tcW w:w="20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Mehta &amp; Josephs 2006</w:t>
            </w:r>
          </w:p>
        </w:tc>
        <w:tc>
          <w:tcPr>
            <w:tcW w:w="47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Mehta PH &amp; Josephs RA (2006). Testosterone change after losing predicts the decision to compete again. Hormones and Behavior 50(4):684-692.</w:t>
            </w:r>
          </w:p>
        </w:tc>
        <w:tc>
          <w:tcPr>
            <w:tcW w:w="26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https://doi.org/10.1016/j.yhbeh.2006.07.001</w:t>
            </w:r>
          </w:p>
        </w:tc>
      </w:tr>
      <w:tr>
        <w:tc>
          <w:tcPr>
            <w:tcW w:w="20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Neumann 2002*</w:t>
            </w:r>
          </w:p>
        </w:tc>
        <w:tc>
          <w:tcPr>
            <w:tcW w:w="47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Neumann ID (2002). Involvement of the brain oxytocin system in stress coping. Progress in Brain Research 139:147-162.</w:t>
            </w:r>
          </w:p>
        </w:tc>
        <w:tc>
          <w:tcPr>
            <w:tcW w:w="26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https://doi.org/10.1016/S0079-6123(02)39014-9</w:t>
            </w:r>
          </w:p>
        </w:tc>
      </w:tr>
      <w:tr>
        <w:tc>
          <w:tcPr>
            <w:tcW w:w="20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Nolen-Hoeksema 1991</w:t>
            </w:r>
          </w:p>
        </w:tc>
        <w:tc>
          <w:tcPr>
            <w:tcW w:w="47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Nolen-Hoeksema S (1991). Responses to depression and their effects on the duration of depressive episodes. Journal of Abnormal Psychology 100(4):569-582.</w:t>
            </w:r>
          </w:p>
        </w:tc>
        <w:tc>
          <w:tcPr>
            <w:tcW w:w="26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p>
        </w:tc>
      </w:tr>
      <w:tr>
        <w:tc>
          <w:tcPr>
            <w:tcW w:w="20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Owens &amp; Nemeroff 1991*</w:t>
            </w:r>
          </w:p>
        </w:tc>
        <w:tc>
          <w:tcPr>
            <w:tcW w:w="47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Owens MJ &amp; Nemeroff CB (1991). Physiology and pharmacology of corticotropin-releasing factor. Pharmacological Reviews 43(4):425-473.</w:t>
            </w:r>
          </w:p>
        </w:tc>
        <w:tc>
          <w:tcPr>
            <w:tcW w:w="26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https://pubmed.ncbi.nlm.nih.gov/1775506/</w:t>
            </w:r>
          </w:p>
        </w:tc>
      </w:tr>
      <w:tr>
        <w:tc>
          <w:tcPr>
            <w:tcW w:w="20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Panksepp 1998</w:t>
            </w:r>
          </w:p>
        </w:tc>
        <w:tc>
          <w:tcPr>
            <w:tcW w:w="47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Panksepp J (1998). Affective Neuroscience: The Foundations of Human and Animal Emotions. Oxford University Press.</w:t>
            </w:r>
          </w:p>
        </w:tc>
        <w:tc>
          <w:tcPr>
            <w:tcW w:w="26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p>
        </w:tc>
      </w:tr>
      <w:tr>
        <w:tc>
          <w:tcPr>
            <w:tcW w:w="20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Panksepp &amp; Biven 2012</w:t>
            </w:r>
          </w:p>
        </w:tc>
        <w:tc>
          <w:tcPr>
            <w:tcW w:w="47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Panksepp J &amp; Biven L (2012). The Archaeology of Mind: Neuroevolutionary Origins of Human Emotions. Norton.</w:t>
            </w:r>
          </w:p>
        </w:tc>
        <w:tc>
          <w:tcPr>
            <w:tcW w:w="26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p>
        </w:tc>
      </w:tr>
      <w:tr>
        <w:tc>
          <w:tcPr>
            <w:tcW w:w="20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Porges 2011</w:t>
            </w:r>
          </w:p>
        </w:tc>
        <w:tc>
          <w:tcPr>
            <w:tcW w:w="47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Porges SW (2011). The Polyvagal Theory: Neurophysiological Foundations of Emotions, Attachment, Communication, and Self-Regulation. Norton.</w:t>
            </w:r>
          </w:p>
        </w:tc>
        <w:tc>
          <w:tcPr>
            <w:tcW w:w="26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p>
        </w:tc>
      </w:tr>
      <w:tr>
        <w:tc>
          <w:tcPr>
            <w:tcW w:w="20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Procyshyn et al. 2020</w:t>
            </w:r>
          </w:p>
        </w:tc>
        <w:tc>
          <w:tcPr>
            <w:tcW w:w="47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Procyshyn TL, Bartz JA, Crespi BJ (2020). Experimental empathy induction promotes oxytocin increases and testosterone decreases. Hormones and Behavior 126:104844.</w:t>
            </w:r>
          </w:p>
        </w:tc>
        <w:tc>
          <w:tcPr>
            <w:tcW w:w="26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https://doi.org/10.1016/j.yhbeh.2020.104844</w:t>
            </w:r>
          </w:p>
        </w:tc>
      </w:tr>
      <w:tr>
        <w:tc>
          <w:tcPr>
            <w:tcW w:w="20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Rothbart 2011</w:t>
            </w:r>
          </w:p>
        </w:tc>
        <w:tc>
          <w:tcPr>
            <w:tcW w:w="47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Rothbart MK (2011). Becoming Who We Are: Temperament and Personality in Development. Guilford Press.</w:t>
            </w:r>
          </w:p>
        </w:tc>
        <w:tc>
          <w:tcPr>
            <w:tcW w:w="26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p>
        </w:tc>
      </w:tr>
      <w:tr>
        <w:tc>
          <w:tcPr>
            <w:tcW w:w="20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Rothbart &amp; Bates 2006</w:t>
            </w:r>
          </w:p>
        </w:tc>
        <w:tc>
          <w:tcPr>
            <w:tcW w:w="47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Rothbart MK &amp; Bates JE (2006). Temperament. In W. Damon, R. Lerner, &amp; N. Eisenberg (Eds.), Handbook of Child Psychology, Vol. 3 (6th ed.). Wiley.</w:t>
            </w:r>
          </w:p>
        </w:tc>
        <w:tc>
          <w:tcPr>
            <w:tcW w:w="26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p>
        </w:tc>
      </w:tr>
      <w:tr>
        <w:tc>
          <w:tcPr>
            <w:tcW w:w="20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Taylor et al. 2000</w:t>
            </w:r>
          </w:p>
        </w:tc>
        <w:tc>
          <w:tcPr>
            <w:tcW w:w="47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Taylor SE et al. (2000). Biobehavioral responses to stress in females: Tend-and-befriend, not fight-or-flight. Psychological Review 107(3):411-429.</w:t>
            </w:r>
          </w:p>
        </w:tc>
        <w:tc>
          <w:tcPr>
            <w:tcW w:w="26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https://doi.org/10.1037/0033-295X.107.3.411</w:t>
            </w:r>
          </w:p>
        </w:tc>
      </w:tr>
      <w:tr>
        <w:tc>
          <w:tcPr>
            <w:tcW w:w="20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Teicher et al. 2002*</w:t>
            </w:r>
          </w:p>
        </w:tc>
        <w:tc>
          <w:tcPr>
            <w:tcW w:w="47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Teicher MH et al. (2002). Developmental neurobiology of childhood stress and trauma. Psychiatric Clinics of North America 25(2):397-426.</w:t>
            </w:r>
          </w:p>
        </w:tc>
        <w:tc>
          <w:tcPr>
            <w:tcW w:w="26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https://doi.org/10.1016/S0193-953X(01)00003-X</w:t>
            </w:r>
          </w:p>
        </w:tc>
      </w:tr>
      <w:tr>
        <w:tc>
          <w:tcPr>
            <w:tcW w:w="20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Toker et al. 2012*</w:t>
            </w:r>
          </w:p>
        </w:tc>
        <w:tc>
          <w:tcPr>
            <w:tcW w:w="47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Toker S et al. (2012). Burnout and risk of coronary heart disease: a prospective study of 8838 employees. Psychosomatic Medicine 74(8):840-847.</w:t>
            </w:r>
          </w:p>
        </w:tc>
        <w:tc>
          <w:tcPr>
            <w:tcW w:w="26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https://doi.org/10.1097/PSY.0b013e31826c3174</w:t>
            </w:r>
          </w:p>
        </w:tc>
      </w:tr>
      <w:tr>
        <w:tc>
          <w:tcPr>
            <w:tcW w:w="20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Wang et al. 2020</w:t>
            </w:r>
          </w:p>
        </w:tc>
        <w:tc>
          <w:tcPr>
            <w:tcW w:w="47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Wang Y et al. (2020). Spontaneous brain state oscillation is associated with self-reported anxiety in a non-clinical sample. Scientific Reports 10:19552.</w:t>
            </w:r>
          </w:p>
        </w:tc>
        <w:tc>
          <w:tcPr>
            <w:tcW w:w="26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https://www.nature.com/articles/s41598-020-76211-1</w:t>
            </w:r>
          </w:p>
        </w:tc>
      </w:tr>
      <w:tr>
        <w:tc>
          <w:tcPr>
            <w:tcW w:w="20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Weiss 1980</w:t>
            </w:r>
          </w:p>
        </w:tc>
        <w:tc>
          <w:tcPr>
            <w:tcW w:w="47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Weiss JM, Glazer HI, Pohorecky LA (1980). Coping with stress: norepinephrine depletion and escape performance. Brain Research 191:583-588.</w:t>
            </w:r>
          </w:p>
        </w:tc>
        <w:tc>
          <w:tcPr>
            <w:tcW w:w="26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https://doi.org/10.1016/0006-8993(80)91317-X</w:t>
            </w:r>
          </w:p>
        </w:tc>
      </w:tr>
      <w:tr>
        <w:tc>
          <w:tcPr>
            <w:tcW w:w="20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b/>
                <w:bCs/>
                <w:sz w:val="18"/>
                <w:szCs w:val="18"/>
              </w:rPr>
              <w:t>Zannas &amp; Binder 2014</w:t>
            </w:r>
          </w:p>
        </w:tc>
        <w:tc>
          <w:tcPr>
            <w:tcW w:w="476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Zannas AS &amp; Binder EB (2014). Gene-stress-epigenetic regulation of FKBP5: clinical and translational implications. Neuropsychopharmacology 39:248-258.</w:t>
            </w:r>
          </w:p>
        </w:tc>
        <w:tc>
          <w:tcPr>
            <w:tcW w:w="2600" w:type="dxa"/>
            <w:tcBorders>
              <w:top w:val="single" w:sz="4" w:color="CCCCCC"/>
              <w:bottom w:val="single" w:sz="4" w:color="CCCCCC"/>
              <w:left w:val="single" w:sz="4" w:color="CCCCCC"/>
              <w:right w:val="single" w:sz="4" w:color="CCCCCC"/>
            </w:tcBorders>
            <w:tcMar>
              <w:top w:w="80" w:type="dxa"/>
              <w:bottom w:w="80" w:type="dxa"/>
              <w:left w:w="120" w:type="dxa"/>
              <w:right w:w="120" w:type="dxa"/>
            </w:tcMar>
          </w:tcPr>
          <w:p>
            <w:pPr>
              <w:spacing w:before="0" w:after="0" w:line="260" w:lineRule="auto"/>
            </w:pPr>
            <w:r>
              <w:rPr>
                <w:sz w:val="18"/>
                <w:szCs w:val="18"/>
              </w:rPr>
              <w:t>https://pmc.ncbi.nlm.nih.gov/articles/PMC4677131/</w:t>
            </w:r>
          </w:p>
        </w:tc>
      </w:tr>
    </w:tbl>
    <w:p>
      <w:pPr>
        <w:pStyle w:val="BodyText"/>
        <w:spacing w:before="0" w:after="80"/>
      </w:pPr>
      <w:r>
        <w:rPr/>
        <w:t/>
      </w:r>
    </w:p>
    <w:p>
      <w:pPr>
        <w:pStyle w:val="BodyText"/>
      </w:pPr>
      <w:r>
        <w:rPr/>
        <w:t>This document is a working hypothesis developed through iterative theoretical investigation. All frameworks are speculative and intended to generate further inquiry and empirical testing.</w:t>
      </w:r>
    </w:p>
    <w:sectPr>
      <w:headerReference w:type="default" r:id="rId100"/>
      <w:footerReference w:type="default" r:id="rId101"/>
      <w:pgSz w:w="12240" w:h="15840"/>
      <w:pgMar w:top="1440" w:right="1440" w:bottom="1440" w:left="1440" w:header="708" w:footer="70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swiss"/>
    <w:pitch w:val="variable"/>
  </w:font>
  <w:font w:name="Liberation Mono">
    <w:altName w:val="Courier New"/>
    <w:charset w:val="01" w:characterSet="utf-8"/>
    <w:family w:val="modern"/>
    <w:pitch w:val="fixed"/>
  </w:font>
</w:fonts>
</file>

<file path=word/footer1.xml><?xml version="1.0" encoding="utf-8"?>
<w:ftr xmlns:w="http://schemas.openxmlformats.org/wordprocessingml/2006/main">
  <w:p>
    <w:pPr>
      <w:jc w:val="center"/>
      <w:pBdr>
        <w:top w:val="single" w:sz="4" w:space="1" w:color="CCCCCC"/>
      </w:pBdr>
      <w:rPr>
        <w:rFonts w:ascii="Calibri" w:hAnsi="Calibri"/>
        <w:color w:val="888888"/>
        <w:sz w:val="18"/>
      </w:rPr>
    </w:pPr>
    <w:r>
      <w:rPr>
        <w:rFonts w:ascii="Calibri" w:hAnsi="Calibri"/>
        <w:color w:val="888888"/>
        <w:sz w:val="18"/>
      </w:rPr>
      <w:fldChar w:fldCharType="begin"/>
    </w:r>
    <w:r>
      <w:rPr>
        <w:rFonts w:ascii="Calibri" w:hAnsi="Calibri"/>
        <w:color w:val="888888"/>
        <w:sz w:val="18"/>
      </w:rPr>
      <w:instrText> PAGE </w:instrText>
    </w:r>
    <w:r>
      <w:rPr>
        <w:rFonts w:ascii="Calibri" w:hAnsi="Calibri"/>
        <w:color w:val="888888"/>
        <w:sz w:val="18"/>
      </w:rPr>
      <w:fldChar w:fldCharType="end"/>
    </w:r>
  </w:p>
</w:ftr>
</file>

<file path=word/header1.xml><?xml version="1.0" encoding="utf-8"?>
<w:hdr xmlns:w="http://schemas.openxmlformats.org/wordprocessingml/2006/main">
  <w:p>
    <w:pPr>
      <w:jc w:val="right"/>
      <w:pBdr>
        <w:bottom w:val="single" w:sz="4" w:space="1" w:color="CCCCCC"/>
      </w:pBdr>
      <w:rPr>
        <w:rFonts w:ascii="Calibri" w:hAnsi="Calibri"/>
        <w:color w:val="888888"/>
        <w:sz w:val="18"/>
      </w:rPr>
    </w:pPr>
    <w:r>
      <w:rPr>
        <w:rFonts w:ascii="Calibri" w:hAnsi="Calibri"/>
        <w:color w:val="888888"/>
        <w:sz w:val="18"/>
      </w:rPr>
      <w:t>Enneagram Biochemical Signature Theory  |  Working Document — Version 12</w:t>
    </w:r>
  </w:p>
</w:hdr>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rPr>
    </w:lvl>
  </w:abstractNum>
  <w:num w:numId="1">
    <w:abstractNumId w:val="0"/>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sz w:val="22"/>
        <w:szCs w:val="22"/>
        <w:lang w:val="en-US"/>
      </w:rPr>
    </w:rPrDefault>
  </w:docDefaults>
  <w:style w:type="paragraph" w:default="1" w:styleId="Normal">
    <w:name w:val="Normal"/>
    <w:pPr>
      <w:widowControl w:val="false"/>
    </w:pPr>
    <w:rPr>
      <w:rFonts w:ascii="Calibri" w:hAnsi="Calibri"/>
      <w:sz w:val="22"/>
      <w:szCs w:val="22"/>
    </w:rPr>
  </w:style>
  <w:style w:type="paragraph" w:styleId="BodyText">
    <w:name w:val="Body Text"/>
    <w:basedOn w:val="Normal"/>
    <w:pPr>
      <w:spacing w:before="0" w:after="160" w:line="276" w:lineRule="auto"/>
    </w:pPr>
    <w:rPr>
      <w:rFonts w:ascii="Calibri" w:hAnsi="Calibri"/>
      <w:sz w:val="22"/>
      <w:szCs w:val="22"/>
    </w:rPr>
  </w:style>
  <w:style w:type="paragraph" w:styleId="Citation">
    <w:name w:val="Citation"/>
    <w:basedOn w:val="Normal"/>
    <w:pPr>
      <w:ind w:left="720"/>
      <w:spacing w:before="80" w:after="80" w:line="276" w:lineRule="auto"/>
    </w:pPr>
    <w:rPr>
      <w:rFonts w:ascii="Calibri" w:hAnsi="Calibri"/>
      <w:i/>
      <w:iCs/>
      <w:sz w:val="18"/>
      <w:szCs w:val="18"/>
      <w:color w:val="555555"/>
    </w:rPr>
  </w:style>
  <w:style w:type="paragraph" w:styleId="NovelContribution">
    <w:name w:val="Novel Contribution"/>
    <w:basedOn w:val="Normal"/>
    <w:pPr>
      <w:spacing w:before="160" w:after="80" w:line="276" w:lineRule="auto"/>
    </w:pPr>
    <w:rPr>
      <w:rFonts w:ascii="Calibri" w:hAnsi="Calibri"/>
      <w:b/>
      <w:bCs/>
      <w:i/>
      <w:iCs/>
      <w:color w:val="8B0000"/>
      <w:sz w:val="22"/>
      <w:szCs w:val="22"/>
    </w:rPr>
  </w:style>
  <w:style w:type="paragraph" w:styleId="ListBullet">
    <w:name w:val="List Bullet"/>
    <w:basedOn w:val="Normal"/>
    <w:pPr>
      <w:numPr>
        <w:ilvl w:val="0"/>
        <w:numId w:val="1"/>
      </w:numPr>
      <w:spacing w:before="60" w:after="60" w:line="276" w:lineRule="auto"/>
    </w:pPr>
    <w:rPr>
      <w:rFonts w:ascii="Calibri" w:hAnsi="Calibri"/>
      <w:sz w:val="22"/>
      <w:szCs w:val="22"/>
    </w:rPr>
  </w:style>
  <w:style w:type="paragraph" w:styleId="Heading1">
    <w:name w:val="heading 1"/>
    <w:basedOn w:val="Normal"/>
    <w:next w:val="BodyText"/>
    <w:qFormat/>
    <w:pPr>
      <w:outlineLvl w:val="0"/>
      <w:spacing w:before="480" w:after="160"/>
      <w:keepNext/>
    </w:pPr>
    <w:rPr>
      <w:rFonts w:ascii="Calibri" w:hAnsi="Calibri"/>
      <w:b/>
      <w:bCs/>
      <w:color w:val="1F3864"/>
      <w:sz w:val="32"/>
      <w:szCs w:val="32"/>
    </w:rPr>
  </w:style>
  <w:style w:type="paragraph" w:styleId="Heading2">
    <w:name w:val="heading 2"/>
    <w:basedOn w:val="Normal"/>
    <w:next w:val="BodyText"/>
    <w:qFormat/>
    <w:pPr>
      <w:outlineLvl w:val="1"/>
      <w:spacing w:before="320" w:after="120"/>
      <w:keepNext/>
    </w:pPr>
    <w:rPr>
      <w:rFonts w:ascii="Calibri" w:hAnsi="Calibri"/>
      <w:b/>
      <w:bCs/>
      <w:color w:val="2E5090"/>
      <w:sz w:val="26"/>
      <w:szCs w:val="26"/>
    </w:rPr>
  </w:style>
  <w:style w:type="paragraph" w:styleId="Heading3">
    <w:name w:val="heading 3"/>
    <w:basedOn w:val="Normal"/>
    <w:next w:val="BodyText"/>
    <w:qFormat/>
    <w:pPr>
      <w:outlineLvl w:val="2"/>
      <w:spacing w:before="240" w:after="100"/>
      <w:keepNext/>
    </w:pPr>
    <w:rPr>
      <w:rFonts w:ascii="Calibri" w:hAnsi="Calibri"/>
      <w:b/>
      <w:bCs/>
      <w:color w:val="2E5090"/>
      <w:sz w:val="24"/>
      <w:szCs w:val="24"/>
    </w:rPr>
  </w:style>
  <w:style w:type="paragraph" w:styleId="Title">
    <w:name w:val="Title"/>
    <w:basedOn w:val="Normal"/>
    <w:qFormat/>
    <w:pPr>
      <w:jc w:val="center"/>
      <w:spacing w:before="480" w:after="80"/>
    </w:pPr>
    <w:rPr>
      <w:rFonts w:ascii="Calibri" w:hAnsi="Calibri"/>
      <w:b/>
      <w:bCs/>
      <w:color w:val="1F3864"/>
      <w:sz w:val="48"/>
      <w:szCs w:val="48"/>
    </w:rPr>
  </w:style>
  <w:style w:type="paragraph" w:styleId="Subtitle">
    <w:name w:val="Subtitle"/>
    <w:basedOn w:val="Normal"/>
    <w:qFormat/>
    <w:pPr>
      <w:jc w:val="center"/>
      <w:spacing w:before="0" w:after="80"/>
    </w:pPr>
    <w:rPr>
      <w:rFonts w:ascii="Calibri" w:hAnsi="Calibri"/>
      <w:i/>
      <w:iCs/>
      <w:color w:val="444444"/>
      <w:sz w:val="26"/>
      <w:szCs w:val="26"/>
    </w:rPr>
  </w:style>
  <w:style w:type="character" w:styleId="DefaultParagraphFont">
    <w:name w:val="Default Paragraph Font"/>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0" Type="http://schemas.openxmlformats.org/officeDocument/2006/relationships/header" Target="header1.xml"/><Relationship Id="rId101" Type="http://schemas.openxmlformats.org/officeDocument/2006/relationships/footer" Target="footer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