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AlgoMind Institutional-Style Gold System</w:t>
      </w:r>
    </w:p>
    <w:p>
      <w:pPr>
        <w:jc w:val="center"/>
      </w:pPr>
      <w:r>
        <w:rPr>
          <w:b/>
          <w:sz w:val="24"/>
        </w:rPr>
        <w:t>DETAILED ENGINEERING SPECIFICATION — CFTC INTEGRATED EDITION</w:t>
      </w:r>
    </w:p>
    <w:p>
      <w:pPr>
        <w:jc w:val="center"/>
      </w:pPr>
      <w:r>
        <w:rPr>
          <w:i/>
        </w:rPr>
        <w:t>MT5 / MQL5 Execution • Python Research • Retail Order-Flow Proxies • CFTC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Primary instrument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XAUUSD / broker-specific gold symbol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Execution authority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MT5 / MQL5 EA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Research and intelligence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Python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Core strategy families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Continuation/trend + mean reversion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Fast data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Ticks, bars, spread, retail volume/activity proxies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External slow context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CFTC COT; news; optional options/dealer-positioning sources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Baseline account feasibility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USD 200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Reference risk baseline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0.5% per trade; 2% daily; 5% total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ML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Optional gatekeeper after deterministic baseline</w:t>
            </w:r>
          </w:p>
        </w:tc>
      </w:tr>
    </w:tbl>
    <w:p/>
    <w:p>
      <w:pPr>
        <w:spacing w:after="80"/>
      </w:pPr>
      <w:r>
        <w:rPr>
          <w:b w:val="0"/>
        </w:rPr>
        <w:t>Purpose: define the complete engineering contract for the AlgoMind system, including the CFTC positioning layer added to the previously established specification.</w:t>
      </w:r>
    </w:p>
    <w:p>
      <w:r>
        <w:br w:type="page"/>
      </w:r>
    </w:p>
    <w:p>
      <w:pPr>
        <w:pStyle w:val="Heading1"/>
      </w:pPr>
      <w:r>
        <w:t>1. System Purpose and Scope</w:t>
      </w:r>
    </w:p>
    <w:p>
      <w:pPr>
        <w:spacing w:after="80"/>
      </w:pPr>
      <w:r>
        <w:rPr>
          <w:b w:val="0"/>
        </w:rPr>
        <w:t>AlgoMind is a modular XAUUSD research, decision and execution system intended to reproduce an institutional-style workflow using data that can realistically be assembled in a retail environment. It combines market structure, liquidity, value, retail order-flow proxies, volatility, sessions, news, positioning context and strict execution/risk controls.</w:t>
      </w:r>
    </w:p>
    <w:p>
      <w:pPr>
        <w:pStyle w:val="ListBullet"/>
        <w:spacing w:after="20"/>
      </w:pPr>
      <w:r>
        <w:t>Python is responsible for research, feature engineering, regime intelligence and strategy scoring.</w:t>
      </w:r>
    </w:p>
    <w:p>
      <w:pPr>
        <w:pStyle w:val="ListBullet"/>
        <w:spacing w:after="20"/>
      </w:pPr>
      <w:r>
        <w:t>MQL5 is the final execution and hard-risk authority.</w:t>
      </w:r>
    </w:p>
    <w:p>
      <w:pPr>
        <w:pStyle w:val="ListBullet"/>
        <w:spacing w:after="20"/>
      </w:pPr>
      <w:r>
        <w:t>The deterministic rule-based engine is the reference implementation; ML is optional.</w:t>
      </w:r>
    </w:p>
    <w:p>
      <w:pPr>
        <w:pStyle w:val="ListBullet"/>
        <w:spacing w:after="20"/>
      </w:pPr>
      <w:r>
        <w:t>Backtest, replay, forward and live modes use the same versioned feature and decision contracts.</w:t>
      </w:r>
    </w:p>
    <w:p>
      <w:pPr>
        <w:pStyle w:val="ListBullet"/>
        <w:spacing w:after="20"/>
      </w:pPr>
      <w:r>
        <w:t>Retail flow is explicitly treated as a proxy rather than centralized institutional order flow.</w:t>
      </w:r>
    </w:p>
    <w:p>
      <w:pPr>
        <w:pStyle w:val="ListBullet"/>
        <w:spacing w:after="20"/>
      </w:pPr>
      <w:r>
        <w:t>CFTC is explicitly treated as slow positioning context rather than intraday order flow.</w:t>
      </w:r>
    </w:p>
    <w:p>
      <w:pPr>
        <w:pStyle w:val="ListBullet"/>
        <w:spacing w:after="20"/>
      </w:pPr>
      <w:r>
        <w:t>Missing, stale or malformed critical data causes a safe veto rather than uncontrolled trading.</w:t>
      </w:r>
    </w:p>
    <w:p>
      <w:pPr>
        <w:pStyle w:val="Heading1"/>
      </w:pPr>
      <w:r>
        <w:t>2. Design Principles</w:t>
      </w:r>
    </w:p>
    <w:p>
      <w:pPr>
        <w:pStyle w:val="ListBullet"/>
        <w:spacing w:after="20"/>
      </w:pPr>
      <w:r>
        <w:t>Causality: every historical decision uses only information available at that timestamp.</w:t>
      </w:r>
    </w:p>
    <w:p>
      <w:pPr>
        <w:pStyle w:val="ListBullet"/>
        <w:spacing w:after="20"/>
      </w:pPr>
      <w:r>
        <w:t>Modularity: data, features, regime, strategy, risk and execution are independently testable.</w:t>
      </w:r>
    </w:p>
    <w:p>
      <w:pPr>
        <w:pStyle w:val="ListBullet"/>
        <w:spacing w:after="20"/>
      </w:pPr>
      <w:r>
        <w:t>Auditability: every decision can be reconstructed from timestamped inputs and versioned configuration.</w:t>
      </w:r>
    </w:p>
    <w:p>
      <w:pPr>
        <w:pStyle w:val="ListBullet"/>
        <w:spacing w:after="20"/>
      </w:pPr>
      <w:r>
        <w:t>Broker neutrality: symbol precision, contract size, tick value and minimum volume are read from the broker.</w:t>
      </w:r>
    </w:p>
    <w:p>
      <w:pPr>
        <w:pStyle w:val="ListBullet"/>
        <w:spacing w:after="20"/>
      </w:pPr>
      <w:r>
        <w:t>Fail closed: system uncertainty blocks new entries.</w:t>
      </w:r>
    </w:p>
    <w:p>
      <w:pPr>
        <w:pStyle w:val="ListBullet"/>
        <w:spacing w:after="20"/>
      </w:pPr>
      <w:r>
        <w:t>Separation of evidence: CFTC, retail flow, news and hypothesis-based positioning sources retain separate provenance.</w:t>
      </w:r>
    </w:p>
    <w:p>
      <w:pPr>
        <w:pStyle w:val="Heading1"/>
      </w:pPr>
      <w:r>
        <w:t>3.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MT5 market adapter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Ticks, bars, bid/ask, spread, symbol/account specifications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External data adapters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CFTC, news and optional options/dealer-positioning datasets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Event engine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BOS, sweeps, displacement, FVG/OB lifecycle, flow transitions and external-data events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Feature engine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Structure, liquidity, flow, VWAP/value, volatility, news and CFTC features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Regime engine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Trend, range, transition, volatile/news and unsuitable states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Strategy engine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Continuation and mean-reversion candidate generation/scoring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Risk engine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Position size, margin, spread, session and loss limits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Execution engine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MQL5 validation, order placement and position management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Audit/storage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Raw data, features, decisions, executions, configurations and versions</w:t>
            </w:r>
          </w:p>
        </w:tc>
      </w:tr>
    </w:tbl>
    <w:p/>
    <w:p>
      <w:pPr>
        <w:spacing w:after="80"/>
      </w:pPr>
      <w:r>
        <w:rPr>
          <w:b w:val="0"/>
        </w:rPr>
        <w:t>Canonical flow: MarketSnapshot → MarketEvent → FeatureSnapshot → RegimeState → StrategyScore → TradeIntent → MQL5 RiskValidation → ExecutionRecord.</w:t>
      </w:r>
    </w:p>
    <w:p>
      <w:pPr>
        <w:pStyle w:val="Heading1"/>
      </w:pPr>
      <w:r>
        <w:t>4. Canonical Data Contracts</w:t>
      </w:r>
    </w:p>
    <w:p>
      <w:pPr>
        <w:pStyle w:val="Heading2"/>
      </w:pPr>
      <w:r>
        <w:t>4.1 MarketSnapshot</w:t>
      </w:r>
    </w:p>
    <w:p>
      <w:pPr>
        <w:pStyle w:val="ListBullet"/>
        <w:spacing w:after="20"/>
      </w:pPr>
      <w:r>
        <w:t>UTC/source timestamp</w:t>
      </w:r>
    </w:p>
    <w:p>
      <w:pPr>
        <w:pStyle w:val="ListBullet"/>
        <w:spacing w:after="20"/>
      </w:pPr>
      <w:r>
        <w:t>symbol and broker symbol</w:t>
      </w:r>
    </w:p>
    <w:p>
      <w:pPr>
        <w:pStyle w:val="ListBullet"/>
        <w:spacing w:after="20"/>
      </w:pPr>
      <w:r>
        <w:t>bid, ask, mid, spread</w:t>
      </w:r>
    </w:p>
    <w:p>
      <w:pPr>
        <w:pStyle w:val="ListBullet"/>
        <w:spacing w:after="20"/>
      </w:pPr>
      <w:r>
        <w:t>tick volume and real volume when genuinely available</w:t>
      </w:r>
    </w:p>
    <w:p>
      <w:pPr>
        <w:pStyle w:val="ListBullet"/>
        <w:spacing w:after="20"/>
      </w:pPr>
      <w:r>
        <w:t>OHLC for configured timeframes</w:t>
      </w:r>
    </w:p>
    <w:p>
      <w:pPr>
        <w:pStyle w:val="ListBullet"/>
        <w:spacing w:after="20"/>
      </w:pPr>
      <w:r>
        <w:t>point/digits/contract size/tick value/minimum lot/lot step/stops/freeze levels</w:t>
      </w:r>
    </w:p>
    <w:p>
      <w:pPr>
        <w:pStyle w:val="ListBullet"/>
        <w:spacing w:after="20"/>
      </w:pPr>
      <w:r>
        <w:t>session state</w:t>
      </w:r>
    </w:p>
    <w:p>
      <w:pPr>
        <w:pStyle w:val="ListBullet"/>
        <w:spacing w:after="20"/>
      </w:pPr>
      <w:r>
        <w:t>data-quality flags</w:t>
      </w:r>
    </w:p>
    <w:p>
      <w:pPr>
        <w:pStyle w:val="Heading2"/>
      </w:pPr>
      <w:r>
        <w:t>4.2 FeatureSnapshot</w:t>
      </w:r>
    </w:p>
    <w:p>
      <w:pPr>
        <w:spacing w:after="80"/>
      </w:pPr>
      <w:r>
        <w:rPr>
          <w:b w:val="0"/>
        </w:rPr>
        <w:t>Immutable derived-state record containing only features that were computable at the timestamp.</w:t>
      </w:r>
    </w:p>
    <w:p>
      <w:pPr>
        <w:pStyle w:val="Heading2"/>
      </w:pPr>
      <w:r>
        <w:t>4.3 RegimeState</w:t>
      </w:r>
    </w:p>
    <w:p>
      <w:pPr>
        <w:spacing w:after="80"/>
      </w:pPr>
      <w:r>
        <w:rPr>
          <w:b w:val="0"/>
        </w:rPr>
        <w:t>Contains regime label, confidence, preferred strategy family, risk modifier and reason codes.</w:t>
      </w:r>
    </w:p>
    <w:p>
      <w:pPr>
        <w:pStyle w:val="Heading2"/>
      </w:pPr>
      <w:r>
        <w:t>4.4 TradeIntent</w:t>
      </w:r>
    </w:p>
    <w:p>
      <w:pPr>
        <w:pStyle w:val="ListBullet"/>
        <w:spacing w:after="20"/>
      </w:pPr>
      <w:r>
        <w:t>intent_id</w:t>
      </w:r>
    </w:p>
    <w:p>
      <w:pPr>
        <w:pStyle w:val="ListBullet"/>
        <w:spacing w:after="20"/>
      </w:pPr>
      <w:r>
        <w:t>schema_version</w:t>
      </w:r>
    </w:p>
    <w:p>
      <w:pPr>
        <w:pStyle w:val="ListBullet"/>
        <w:spacing w:after="20"/>
      </w:pPr>
      <w:r>
        <w:t>strategy_version</w:t>
      </w:r>
    </w:p>
    <w:p>
      <w:pPr>
        <w:pStyle w:val="ListBullet"/>
        <w:spacing w:after="20"/>
      </w:pPr>
      <w:r>
        <w:t>model_version if applicable</w:t>
      </w:r>
    </w:p>
    <w:p>
      <w:pPr>
        <w:pStyle w:val="ListBullet"/>
        <w:spacing w:after="20"/>
      </w:pPr>
      <w:r>
        <w:t>symbol</w:t>
      </w:r>
    </w:p>
    <w:p>
      <w:pPr>
        <w:pStyle w:val="ListBullet"/>
        <w:spacing w:after="20"/>
      </w:pPr>
      <w:r>
        <w:t>direction</w:t>
      </w:r>
    </w:p>
    <w:p>
      <w:pPr>
        <w:pStyle w:val="ListBullet"/>
        <w:spacing w:after="20"/>
      </w:pPr>
      <w:r>
        <w:t>timestamp</w:t>
      </w:r>
    </w:p>
    <w:p>
      <w:pPr>
        <w:pStyle w:val="ListBullet"/>
        <w:spacing w:after="20"/>
      </w:pPr>
      <w:r>
        <w:t>expiry</w:t>
      </w:r>
    </w:p>
    <w:p>
      <w:pPr>
        <w:pStyle w:val="ListBullet"/>
        <w:spacing w:after="20"/>
      </w:pPr>
      <w:r>
        <w:t>entry reference</w:t>
      </w:r>
    </w:p>
    <w:p>
      <w:pPr>
        <w:pStyle w:val="ListBullet"/>
        <w:spacing w:after="20"/>
      </w:pPr>
      <w:r>
        <w:t>stop/target plan</w:t>
      </w:r>
    </w:p>
    <w:p>
      <w:pPr>
        <w:pStyle w:val="ListBullet"/>
        <w:spacing w:after="20"/>
      </w:pPr>
      <w:r>
        <w:t>score/confidence</w:t>
      </w:r>
    </w:p>
    <w:p>
      <w:pPr>
        <w:pStyle w:val="ListBullet"/>
        <w:spacing w:after="20"/>
      </w:pPr>
      <w:r>
        <w:t>regime</w:t>
      </w:r>
    </w:p>
    <w:p>
      <w:pPr>
        <w:pStyle w:val="ListBullet"/>
        <w:spacing w:after="20"/>
      </w:pPr>
      <w:r>
        <w:t>reason codes</w:t>
      </w:r>
    </w:p>
    <w:p>
      <w:pPr>
        <w:pStyle w:val="ListBullet"/>
        <w:spacing w:after="20"/>
      </w:pPr>
      <w:r>
        <w:t>risk request</w:t>
      </w:r>
    </w:p>
    <w:p>
      <w:pPr>
        <w:pStyle w:val="Heading2"/>
      </w:pPr>
      <w:r>
        <w:t>4.5 ExecutionRecord</w:t>
      </w:r>
    </w:p>
    <w:p>
      <w:pPr>
        <w:spacing w:after="80"/>
      </w:pPr>
      <w:r>
        <w:rPr>
          <w:b w:val="0"/>
        </w:rPr>
        <w:t>MQL5 records validation, order submission, fills, modifications, partial closes, final closure and execution errors.</w:t>
      </w:r>
    </w:p>
    <w:p>
      <w:pPr>
        <w:pStyle w:val="Heading1"/>
      </w:pPr>
      <w:r>
        <w:t>5. MQL5 Execution Layer</w:t>
      </w:r>
    </w:p>
    <w:p>
      <w:pPr>
        <w:pStyle w:val="ListBullet"/>
        <w:spacing w:after="20"/>
      </w:pPr>
      <w:r>
        <w:t>Receive or read TradeIntent messages.</w:t>
      </w:r>
    </w:p>
    <w:p>
      <w:pPr>
        <w:pStyle w:val="ListBullet"/>
        <w:spacing w:after="20"/>
      </w:pPr>
      <w:r>
        <w:t>Revalidate current market price, spread and broker symbol specifications.</w:t>
      </w:r>
    </w:p>
    <w:p>
      <w:pPr>
        <w:pStyle w:val="ListBullet"/>
        <w:spacing w:after="20"/>
      </w:pPr>
      <w:r>
        <w:t>Calculate volume using actual tick value, stop distance, account equity and broker constraints.</w:t>
      </w:r>
    </w:p>
    <w:p>
      <w:pPr>
        <w:pStyle w:val="ListBullet"/>
        <w:spacing w:after="20"/>
      </w:pPr>
      <w:r>
        <w:t>Apply session, spread, news, margin and loss-limit gates.</w:t>
      </w:r>
    </w:p>
    <w:p>
      <w:pPr>
        <w:pStyle w:val="ListBullet"/>
        <w:spacing w:after="20"/>
      </w:pPr>
      <w:r>
        <w:t>Prevent duplicate, stale or expired intents.</w:t>
      </w:r>
    </w:p>
    <w:p>
      <w:pPr>
        <w:pStyle w:val="ListBullet"/>
        <w:spacing w:after="20"/>
      </w:pPr>
      <w:r>
        <w:t>Manage stops, partial exits and trailing logic.</w:t>
      </w:r>
    </w:p>
    <w:p>
      <w:pPr>
        <w:pStyle w:val="ListBullet"/>
        <w:spacing w:after="20"/>
      </w:pPr>
      <w:r>
        <w:t>Record execution lifecycle and broker response.</w:t>
      </w:r>
    </w:p>
    <w:p>
      <w:pPr>
        <w:spacing w:after="80"/>
      </w:pPr>
      <w:r>
        <w:rPr>
          <w:b w:val="0"/>
        </w:rPr>
        <w:t>Broker normalization is mandatory because gold symbols can have different digits, point sizes, contract specifications and minimum trade sizes.</w:t>
      </w:r>
    </w:p>
    <w:p>
      <w:pPr>
        <w:pStyle w:val="Heading1"/>
      </w:pPr>
      <w:r>
        <w:t>6. Python Research and Intelligence Layer</w:t>
      </w:r>
    </w:p>
    <w:p>
      <w:pPr>
        <w:pStyle w:val="ListBullet"/>
        <w:spacing w:after="20"/>
      </w:pPr>
      <w:r>
        <w:t>Data normalization</w:t>
      </w:r>
    </w:p>
    <w:p>
      <w:pPr>
        <w:pStyle w:val="ListBullet"/>
        <w:spacing w:after="20"/>
      </w:pPr>
      <w:r>
        <w:t>Historical replay</w:t>
      </w:r>
    </w:p>
    <w:p>
      <w:pPr>
        <w:pStyle w:val="ListBullet"/>
        <w:spacing w:after="20"/>
      </w:pPr>
      <w:r>
        <w:t>Structure/liquidity engine</w:t>
      </w:r>
    </w:p>
    <w:p>
      <w:pPr>
        <w:pStyle w:val="ListBullet"/>
        <w:spacing w:after="20"/>
      </w:pPr>
      <w:r>
        <w:t>Retail order-flow proxy engine</w:t>
      </w:r>
    </w:p>
    <w:p>
      <w:pPr>
        <w:pStyle w:val="ListBullet"/>
        <w:spacing w:after="20"/>
      </w:pPr>
      <w:r>
        <w:t>VWAP/value engine</w:t>
      </w:r>
    </w:p>
    <w:p>
      <w:pPr>
        <w:pStyle w:val="ListBullet"/>
        <w:spacing w:after="20"/>
      </w:pPr>
      <w:r>
        <w:t>News/session engine</w:t>
      </w:r>
    </w:p>
    <w:p>
      <w:pPr>
        <w:pStyle w:val="ListBullet"/>
        <w:spacing w:after="20"/>
      </w:pPr>
      <w:r>
        <w:t>CFTC adapter and feature engine</w:t>
      </w:r>
    </w:p>
    <w:p>
      <w:pPr>
        <w:pStyle w:val="ListBullet"/>
        <w:spacing w:after="20"/>
      </w:pPr>
      <w:r>
        <w:t>Regime engine</w:t>
      </w:r>
    </w:p>
    <w:p>
      <w:pPr>
        <w:pStyle w:val="ListBullet"/>
        <w:spacing w:after="20"/>
      </w:pPr>
      <w:r>
        <w:t>Strategy scorer</w:t>
      </w:r>
    </w:p>
    <w:p>
      <w:pPr>
        <w:pStyle w:val="ListBullet"/>
        <w:spacing w:after="20"/>
      </w:pPr>
      <w:r>
        <w:t>TradeIntent serializer</w:t>
      </w:r>
    </w:p>
    <w:p>
      <w:pPr>
        <w:pStyle w:val="ListBullet"/>
        <w:spacing w:after="20"/>
      </w:pPr>
      <w:r>
        <w:t>Backtest diagnostics</w:t>
      </w:r>
    </w:p>
    <w:p>
      <w:pPr>
        <w:pStyle w:val="ListBullet"/>
        <w:spacing w:after="20"/>
      </w:pPr>
      <w:r>
        <w:t>Optional ML gatekeeper</w:t>
      </w:r>
    </w:p>
    <w:p>
      <w:pPr>
        <w:spacing w:after="80"/>
      </w:pPr>
      <w:r>
        <w:rPr>
          <w:b w:val="0"/>
        </w:rPr>
        <w:t>Python has no authority to bypass MQL5 hard-risk controls.</w:t>
      </w:r>
    </w:p>
    <w:p>
      <w:pPr>
        <w:pStyle w:val="Heading1"/>
      </w:pPr>
      <w:r>
        <w:t>7. Market Structure and Liquidity</w:t>
      </w:r>
    </w:p>
    <w:p>
      <w:pPr>
        <w:pStyle w:val="ListBullet"/>
        <w:spacing w:after="20"/>
      </w:pPr>
      <w:r>
        <w:t>Swing highs/lows</w:t>
      </w:r>
    </w:p>
    <w:p>
      <w:pPr>
        <w:pStyle w:val="ListBullet"/>
        <w:spacing w:after="20"/>
      </w:pPr>
      <w:r>
        <w:t>Break of structure</w:t>
      </w:r>
    </w:p>
    <w:p>
      <w:pPr>
        <w:pStyle w:val="ListBullet"/>
        <w:spacing w:after="20"/>
      </w:pPr>
      <w:r>
        <w:t>Displacement</w:t>
      </w:r>
    </w:p>
    <w:p>
      <w:pPr>
        <w:pStyle w:val="ListBullet"/>
        <w:spacing w:after="20"/>
      </w:pPr>
      <w:r>
        <w:t>Internal/external structure</w:t>
      </w:r>
    </w:p>
    <w:p>
      <w:pPr>
        <w:pStyle w:val="ListBullet"/>
        <w:spacing w:after="20"/>
      </w:pPr>
      <w:r>
        <w:t>Multi-timeframe alignment</w:t>
      </w:r>
    </w:p>
    <w:p>
      <w:pPr>
        <w:pStyle w:val="ListBullet"/>
        <w:spacing w:after="20"/>
      </w:pPr>
      <w:r>
        <w:t>Previous day/week/session levels</w:t>
      </w:r>
    </w:p>
    <w:p>
      <w:pPr>
        <w:pStyle w:val="ListBullet"/>
        <w:spacing w:after="20"/>
      </w:pPr>
      <w:r>
        <w:t>Equal highs/lows</w:t>
      </w:r>
    </w:p>
    <w:p>
      <w:pPr>
        <w:pStyle w:val="ListBullet"/>
        <w:spacing w:after="20"/>
      </w:pPr>
      <w:r>
        <w:t>Liquidity sweeps</w:t>
      </w:r>
    </w:p>
    <w:p>
      <w:pPr>
        <w:pStyle w:val="ListBullet"/>
        <w:spacing w:after="20"/>
      </w:pPr>
      <w:r>
        <w:t>Liquidity-pool distance</w:t>
      </w:r>
    </w:p>
    <w:p>
      <w:pPr>
        <w:pStyle w:val="ListBullet"/>
        <w:spacing w:after="20"/>
      </w:pPr>
      <w:r>
        <w:t>Order blocks</w:t>
      </w:r>
    </w:p>
    <w:p>
      <w:pPr>
        <w:pStyle w:val="ListBullet"/>
        <w:spacing w:after="20"/>
      </w:pPr>
      <w:r>
        <w:t>Fair value gaps</w:t>
      </w:r>
    </w:p>
    <w:p>
      <w:pPr>
        <w:pStyle w:val="ListBullet"/>
        <w:spacing w:after="20"/>
      </w:pPr>
      <w:r>
        <w:t>Imbalances</w:t>
      </w:r>
    </w:p>
    <w:p>
      <w:pPr>
        <w:spacing w:after="80"/>
      </w:pPr>
      <w:r>
        <w:rPr>
          <w:b w:val="0"/>
        </w:rPr>
        <w:t>FVGs, order blocks and other objects are state machines. Their state must be evaluated bar-by-bar/event-by-event; a final filled or invalidated state cannot be projected backward.</w:t>
      </w:r>
    </w:p>
    <w:p>
      <w:pPr>
        <w:spacing w:after="80"/>
      </w:pPr>
      <w:r>
        <w:rPr>
          <w:b w:val="0"/>
        </w:rPr>
        <w:t>Release-blocking causal tests include per-bar FVG fill state, nearest-open-FVG selection and directional flags.</w:t>
      </w:r>
    </w:p>
    <w:p>
      <w:pPr>
        <w:pStyle w:val="Heading1"/>
      </w:pPr>
      <w:r>
        <w:t>8. Retail Order-Flow Proxy Layer</w:t>
      </w:r>
    </w:p>
    <w:p>
      <w:pPr>
        <w:spacing w:after="80"/>
      </w:pPr>
      <w:r>
        <w:rPr>
          <w:b w:val="0"/>
        </w:rPr>
        <w:t>Because a normal retail MT5 environment does not provide complete centralized institutional order flow, AlgoMind creates measurable proxies from observable data.</w:t>
      </w:r>
    </w:p>
    <w:p>
      <w:pPr>
        <w:pStyle w:val="ListBullet"/>
        <w:spacing w:after="20"/>
      </w:pPr>
      <w:r>
        <w:t>Proxy delta</w:t>
      </w:r>
    </w:p>
    <w:p>
      <w:pPr>
        <w:pStyle w:val="ListBullet"/>
        <w:spacing w:after="20"/>
      </w:pPr>
      <w:r>
        <w:t>Delta surge</w:t>
      </w:r>
    </w:p>
    <w:p>
      <w:pPr>
        <w:pStyle w:val="ListBullet"/>
        <w:spacing w:after="20"/>
      </w:pPr>
      <w:r>
        <w:t>Delta flip</w:t>
      </w:r>
    </w:p>
    <w:p>
      <w:pPr>
        <w:pStyle w:val="ListBullet"/>
        <w:spacing w:after="20"/>
      </w:pPr>
      <w:r>
        <w:t>Delta transition</w:t>
      </w:r>
    </w:p>
    <w:p>
      <w:pPr>
        <w:pStyle w:val="ListBullet"/>
        <w:spacing w:after="20"/>
      </w:pPr>
      <w:r>
        <w:t>Delta persistence</w:t>
      </w:r>
    </w:p>
    <w:p>
      <w:pPr>
        <w:pStyle w:val="ListBullet"/>
        <w:spacing w:after="20"/>
      </w:pPr>
      <w:r>
        <w:t>Delta divergence</w:t>
      </w:r>
    </w:p>
    <w:p>
      <w:pPr>
        <w:pStyle w:val="ListBullet"/>
        <w:spacing w:after="20"/>
      </w:pPr>
      <w:r>
        <w:t>Absorption proxy</w:t>
      </w:r>
    </w:p>
    <w:p>
      <w:pPr>
        <w:pStyle w:val="ListBullet"/>
        <w:spacing w:after="20"/>
      </w:pPr>
      <w:r>
        <w:t>Flow quality/confidence</w:t>
      </w:r>
    </w:p>
    <w:p>
      <w:pPr>
        <w:spacing w:after="80"/>
      </w:pPr>
      <w:r>
        <w:rPr>
          <w:b w:val="0"/>
        </w:rPr>
        <w:t>Every feature stores provenance such as RETAIL_PROXY and its calculation version. These values must never be described as complete institutional order flow.</w:t>
      </w:r>
    </w:p>
    <w:p>
      <w:pPr>
        <w:pStyle w:val="Heading1"/>
      </w:pPr>
      <w:r>
        <w:t>9. VWAP, Value and Volume Context</w:t>
      </w:r>
    </w:p>
    <w:p>
      <w:pPr>
        <w:pStyle w:val="ListBullet"/>
        <w:spacing w:after="20"/>
      </w:pPr>
      <w:r>
        <w:t>Session VWAP</w:t>
      </w:r>
    </w:p>
    <w:p>
      <w:pPr>
        <w:pStyle w:val="ListBullet"/>
        <w:spacing w:after="20"/>
      </w:pPr>
      <w:r>
        <w:t>Anchored/reference VWAP</w:t>
      </w:r>
    </w:p>
    <w:p>
      <w:pPr>
        <w:pStyle w:val="ListBullet"/>
        <w:spacing w:after="20"/>
      </w:pPr>
      <w:r>
        <w:t>Price-to-VWAP distance</w:t>
      </w:r>
    </w:p>
    <w:p>
      <w:pPr>
        <w:pStyle w:val="ListBullet"/>
        <w:spacing w:after="20"/>
      </w:pPr>
      <w:r>
        <w:t>VWAP slope</w:t>
      </w:r>
    </w:p>
    <w:p>
      <w:pPr>
        <w:pStyle w:val="ListBullet"/>
        <w:spacing w:after="20"/>
      </w:pPr>
      <w:r>
        <w:t>Value-area/high-volume/low-volume references where data supports them</w:t>
      </w:r>
    </w:p>
    <w:p>
      <w:pPr>
        <w:pStyle w:val="ListBullet"/>
        <w:spacing w:after="20"/>
      </w:pPr>
      <w:r>
        <w:t>Confluence of value, structure, liquidity and flow</w:t>
      </w:r>
    </w:p>
    <w:p>
      <w:pPr>
        <w:spacing w:after="80"/>
      </w:pPr>
      <w:r>
        <w:rPr>
          <w:b w:val="0"/>
        </w:rPr>
        <w:t>Where only broker tick volume exists, derived volume/value measures are labelled retail proxies.</w:t>
      </w:r>
    </w:p>
    <w:p>
      <w:pPr>
        <w:pStyle w:val="Heading1"/>
      </w:pPr>
      <w:r>
        <w:t>10. News and Session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NEWS_OFF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No news restriction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NEWS_FILTER_ONLY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News can block entries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NEWS_TRADE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News reaction can influence strategy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NEWS_HYBRID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Filtering plus reaction intelligence</w:t>
            </w:r>
          </w:p>
        </w:tc>
      </w:tr>
    </w:tbl>
    <w:p/>
    <w:p>
      <w:pPr>
        <w:spacing w:after="80"/>
      </w:pPr>
      <w:r>
        <w:rPr>
          <w:b w:val="0"/>
        </w:rPr>
        <w:t>Established V36.1 baseline: minimum surprise 0.05, 30-minute news buffer and require reaction = true. Session times must be normalized explicitly into the project's EAT framework and broker/server time.</w:t>
      </w:r>
    </w:p>
    <w:p>
      <w:pPr>
        <w:pStyle w:val="Heading1"/>
      </w:pPr>
      <w:r>
        <w:t>11. CFTC Commitments of Traders Integration</w:t>
      </w:r>
    </w:p>
    <w:p>
      <w:pPr>
        <w:spacing w:after="80"/>
      </w:pPr>
      <w:r>
        <w:rPr>
          <w:b w:val="0"/>
        </w:rPr>
        <w:t>CFTC COT is now a formal AlgoMind external-data layer. The CFTC publishes weekly positioning reports covering report families including Legacy, Disaggregated and Traders in Financial Futures (TFF). The Disaggregated reports classify reportable traders such as Producer/Merchant/Processor/User, Swap Dealers, Managed Money and Other Reportables; TFF uses financial-market categories such as Dealer, Asset Manager, Leveraged Money and Other Reportables. citeturn0search2turn0search4</w:t>
      </w:r>
    </w:p>
    <w:p>
      <w:pPr>
        <w:spacing w:after="80"/>
      </w:pPr>
      <w:r>
        <w:rPr>
          <w:b w:val="0"/>
        </w:rPr>
        <w:t>For gold, AlgoMind should initially use the relevant CFTC gold futures market from the appropriate report family and explicitly configure its relationship to the broker's XAUUSD spot/CFD symbol. Futures positioning is not assumed to equal spot positioning.</w:t>
      </w:r>
    </w:p>
    <w:p>
      <w:pPr>
        <w:pStyle w:val="Heading2"/>
      </w:pPr>
      <w:r>
        <w:t>11.1 CFTC source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Primary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Official CFTC Public Reporting Environment / official COT reports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Historical canonical source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Official CFTC historical datasets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Local reproducible copy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Immutable downloaded raw files + normalized versioned tables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Third-party summaries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Cross-check only; never canonical</w:t>
            </w:r>
          </w:p>
        </w:tc>
      </w:tr>
    </w:tbl>
    <w:p/>
    <w:p>
      <w:pPr>
        <w:spacing w:after="80"/>
      </w:pPr>
      <w:r>
        <w:rPr>
          <w:b w:val="0"/>
        </w:rPr>
        <w:t>CFTC provides historical COT data extending to 1986 for Futures-Only reports and to 1995 for Futures-and-Options-Combined reports, with historical datasets available by report family. citeturn0search3turn0search7</w:t>
      </w:r>
    </w:p>
    <w:p>
      <w:pPr>
        <w:pStyle w:val="Heading2"/>
      </w:pPr>
      <w:r>
        <w:t>11.2 CFTC timing and point-in-time control</w:t>
      </w:r>
    </w:p>
    <w:p>
      <w:pPr>
        <w:spacing w:after="80"/>
      </w:pPr>
      <w:r>
        <w:rPr>
          <w:b w:val="0"/>
        </w:rPr>
        <w:t>CFTC states that weekly Futures-Only and Futures-and-Options-Combined COT reports are released Friday at 3:30 p.m. Eastern Time. AlgoMind therefore stores both the report/as-of date and a publication-availability timestamp. citeturn0search7</w:t>
      </w:r>
    </w:p>
    <w:p>
      <w:pPr>
        <w:spacing w:after="80"/>
      </w:pPr>
      <w:r>
        <w:rPr>
          <w:b w:val="0"/>
        </w:rPr>
        <w:t>Critical rule: a historical strategy decision may use a CFTC observation only after that observation was publicly available. Joining by report date alone is prohibited.</w:t>
      </w:r>
    </w:p>
    <w:p>
      <w:pPr>
        <w:pStyle w:val="Heading2"/>
      </w:pPr>
      <w:r>
        <w:t>11.3 CFTC canonical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source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CFTC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report_type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Legacy / Disaggregated / TFF / combined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report_date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CFTC as-of/report date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publication_timestamp_utc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First time strategy may use the report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market_name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Exact CFTC contract market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contract_market_code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Stable market identifier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open_interest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Market open interest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category long/short/spread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Raw positioning by trader category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percentage fields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Normalized percentages when supplied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change fields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Week-over-week changes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data_version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Parser/adapter version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quality_flag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Completeness and source status</w:t>
            </w:r>
          </w:p>
        </w:tc>
      </w:tr>
    </w:tbl>
    <w:p/>
    <w:p>
      <w:pPr>
        <w:pStyle w:val="Heading2"/>
      </w:pPr>
      <w:r>
        <w:t>11.4 Derived CFTC Features</w:t>
      </w:r>
    </w:p>
    <w:p>
      <w:pPr>
        <w:pStyle w:val="ListBullet"/>
        <w:spacing w:after="20"/>
      </w:pPr>
      <w:r>
        <w:t>Net position = long − short for each trader category</w:t>
      </w:r>
    </w:p>
    <w:p>
      <w:pPr>
        <w:pStyle w:val="ListBullet"/>
        <w:spacing w:after="20"/>
      </w:pPr>
      <w:r>
        <w:t>Week-over-week net-position change</w:t>
      </w:r>
    </w:p>
    <w:p>
      <w:pPr>
        <w:pStyle w:val="ListBullet"/>
        <w:spacing w:after="20"/>
      </w:pPr>
      <w:r>
        <w:t>Position as percentage of open interest</w:t>
      </w:r>
    </w:p>
    <w:p>
      <w:pPr>
        <w:pStyle w:val="ListBullet"/>
        <w:spacing w:after="20"/>
      </w:pPr>
      <w:r>
        <w:t>Long/short ratio where meaningful</w:t>
      </w:r>
    </w:p>
    <w:p>
      <w:pPr>
        <w:pStyle w:val="ListBullet"/>
        <w:spacing w:after="20"/>
      </w:pPr>
      <w:r>
        <w:t>Rolling percentile or z-score of positioning</w:t>
      </w:r>
    </w:p>
    <w:p>
      <w:pPr>
        <w:pStyle w:val="ListBullet"/>
        <w:spacing w:after="20"/>
      </w:pPr>
      <w:r>
        <w:t>Multi-week positioning momentum</w:t>
      </w:r>
    </w:p>
    <w:p>
      <w:pPr>
        <w:pStyle w:val="ListBullet"/>
        <w:spacing w:after="20"/>
      </w:pPr>
      <w:r>
        <w:t>Managed Money directional context</w:t>
      </w:r>
    </w:p>
    <w:p>
      <w:pPr>
        <w:pStyle w:val="ListBullet"/>
        <w:spacing w:after="20"/>
      </w:pPr>
      <w:r>
        <w:t>Swap Dealer context</w:t>
      </w:r>
    </w:p>
    <w:p>
      <w:pPr>
        <w:pStyle w:val="ListBullet"/>
        <w:spacing w:after="20"/>
      </w:pPr>
      <w:r>
        <w:t>Producer/Merchant context</w:t>
      </w:r>
    </w:p>
    <w:p>
      <w:pPr>
        <w:pStyle w:val="ListBullet"/>
        <w:spacing w:after="20"/>
      </w:pPr>
      <w:r>
        <w:t>Cross-category agreement/disagreement</w:t>
      </w:r>
    </w:p>
    <w:p>
      <w:pPr>
        <w:pStyle w:val="ListBullet"/>
        <w:spacing w:after="20"/>
      </w:pPr>
      <w:r>
        <w:t>Historical positioning extremes</w:t>
      </w:r>
    </w:p>
    <w:p>
      <w:pPr>
        <w:pStyle w:val="ListBullet"/>
        <w:spacing w:after="20"/>
      </w:pPr>
      <w:r>
        <w:t>Open-interest change alongside positioning change</w:t>
      </w:r>
    </w:p>
    <w:p>
      <w:pPr>
        <w:pStyle w:val="Heading2"/>
      </w:pPr>
      <w:r>
        <w:t>11.5 CFTC-to-XAUUSD Mapping</w:t>
      </w:r>
    </w:p>
    <w:p>
      <w:pPr>
        <w:spacing w:after="80"/>
      </w:pPr>
      <w:r>
        <w:rPr>
          <w:b w:val="0"/>
        </w:rPr>
        <w:t>The CFTC adapter must explicitly record the selected futures contract, report family, contract continuity/roll methodology, symbol mapping and version. The active CFTC state is carried forward between eligible releases; no artificial intraday CFTC value is generated.</w:t>
      </w:r>
    </w:p>
    <w:p>
      <w:pPr>
        <w:spacing w:after="80"/>
      </w:pPr>
      <w:r>
        <w:rPr>
          <w:b w:val="0"/>
        </w:rPr>
        <w:t>The mapping must be tested because XAUUSD is normally a broker-specific spot/CFD instrument while CFTC data represents regulated futures positioning.</w:t>
      </w:r>
    </w:p>
    <w:p>
      <w:pPr>
        <w:pStyle w:val="Heading2"/>
      </w:pPr>
      <w:r>
        <w:t>11.6 Role of CFTC in the Strategy</w:t>
      </w:r>
    </w:p>
    <w:p>
      <w:pPr>
        <w:pStyle w:val="ListBullet"/>
        <w:spacing w:after="20"/>
      </w:pPr>
      <w:r>
        <w:t>Slow directional context</w:t>
      </w:r>
    </w:p>
    <w:p>
      <w:pPr>
        <w:pStyle w:val="ListBullet"/>
        <w:spacing w:after="20"/>
      </w:pPr>
      <w:r>
        <w:t>Positioning-extreme/crowding context</w:t>
      </w:r>
    </w:p>
    <w:p>
      <w:pPr>
        <w:pStyle w:val="ListBullet"/>
        <w:spacing w:after="20"/>
      </w:pPr>
      <w:r>
        <w:t>Regime modifier</w:t>
      </w:r>
    </w:p>
    <w:p>
      <w:pPr>
        <w:pStyle w:val="ListBullet"/>
        <w:spacing w:after="20"/>
      </w:pPr>
      <w:r>
        <w:t>Continuation confirmation hypothesis</w:t>
      </w:r>
    </w:p>
    <w:p>
      <w:pPr>
        <w:pStyle w:val="ListBullet"/>
        <w:spacing w:after="20"/>
      </w:pPr>
      <w:r>
        <w:t>Mean-reversion/crowding hypothesis</w:t>
      </w:r>
    </w:p>
    <w:p>
      <w:pPr>
        <w:pStyle w:val="ListBullet"/>
        <w:spacing w:after="20"/>
      </w:pPr>
      <w:r>
        <w:t>Confidence modifier when slow positioning agrees/disagrees with fast price/flow</w:t>
      </w:r>
    </w:p>
    <w:p>
      <w:pPr>
        <w:spacing w:after="80"/>
      </w:pPr>
      <w:r>
        <w:rPr>
          <w:b w:val="0"/>
        </w:rPr>
        <w:t>CFTC direction is never an unconditional trading signal. A net-long or net-short category does not by itself establish the next XAUUSD move; predictive value must be tested out of sample.</w:t>
      </w:r>
    </w:p>
    <w:p>
      <w:pPr>
        <w:pStyle w:val="Heading1"/>
      </w:pPr>
      <w:r>
        <w:t>12. Pizzo / Dealer-Positioning Hypothesis Layer</w:t>
      </w:r>
    </w:p>
    <w:p>
      <w:pPr>
        <w:spacing w:after="80"/>
      </w:pPr>
      <w:r>
        <w:rPr>
          <w:b w:val="0"/>
        </w:rPr>
        <w:t>The project's Pizzo-derived concepts remain a separate hypothesis layer. They are translated into measurable variables and evaluated against price, structure and flow rather than being treated as direct dealer-book data.</w:t>
      </w:r>
    </w:p>
    <w:p>
      <w:pPr>
        <w:pStyle w:val="ListBullet"/>
        <w:spacing w:after="20"/>
      </w:pPr>
      <w:r>
        <w:t>Source and freshness tracking</w:t>
      </w:r>
    </w:p>
    <w:p>
      <w:pPr>
        <w:pStyle w:val="ListBullet"/>
        <w:spacing w:after="20"/>
      </w:pPr>
      <w:r>
        <w:t>Explicit hypothesis fields</w:t>
      </w:r>
    </w:p>
    <w:p>
      <w:pPr>
        <w:pStyle w:val="ListBullet"/>
        <w:spacing w:after="20"/>
      </w:pPr>
      <w:r>
        <w:t>Confluence with price/flow reaction</w:t>
      </w:r>
    </w:p>
    <w:p>
      <w:pPr>
        <w:pStyle w:val="ListBullet"/>
        <w:spacing w:after="20"/>
      </w:pPr>
      <w:r>
        <w:t>Modifier/filter role before proven trigger role</w:t>
      </w:r>
    </w:p>
    <w:p>
      <w:pPr>
        <w:pStyle w:val="ListBullet"/>
        <w:spacing w:after="20"/>
      </w:pPr>
      <w:r>
        <w:t>Out-of-sample validation</w:t>
      </w:r>
    </w:p>
    <w:p>
      <w:pPr>
        <w:spacing w:after="80"/>
      </w:pPr>
      <w:r>
        <w:rPr>
          <w:b w:val="0"/>
        </w:rPr>
        <w:t>CFTC and Pizzo-derived positioning must remain separate data fields and evidence classes.</w:t>
      </w:r>
    </w:p>
    <w:p>
      <w:pPr>
        <w:pStyle w:val="Heading1"/>
      </w:pPr>
      <w:r>
        <w:t>13. Regime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Speed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Price/structure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Trend, range, transition, BOS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Fast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Volatility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ATR, realized volatility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Fast/medium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Liquidity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Sweeps, pool distance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Fast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Retail flow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Delta proxy, transitions, divergence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Fast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Value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VWAP/value context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News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Release/reaction state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Event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CFTC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Positioning/change/extreme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Weekly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Execution quality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Spread/slippage/latency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Real time</w:t>
            </w:r>
          </w:p>
        </w:tc>
      </w:tr>
    </w:tbl>
    <w:p/>
    <w:p>
      <w:pPr>
        <w:spacing w:after="80"/>
      </w:pPr>
      <w:r>
        <w:rPr>
          <w:b w:val="0"/>
        </w:rPr>
        <w:t>Output: regime label + confidence + preferred strategy family + risk modifier + reason codes.</w:t>
      </w:r>
    </w:p>
    <w:p>
      <w:pPr>
        <w:pStyle w:val="Heading1"/>
      </w:pPr>
      <w:r>
        <w:t>14. Strategy Engine</w:t>
      </w:r>
    </w:p>
    <w:p>
      <w:pPr>
        <w:spacing w:after="80"/>
      </w:pPr>
      <w:r>
        <w:rPr>
          <w:b w:val="0"/>
        </w:rPr>
        <w:t>The engine evaluates candidate setups through confluence rather than single-indicator triggers.</w:t>
      </w:r>
    </w:p>
    <w:p>
      <w:pPr>
        <w:pStyle w:val="ListBullet"/>
        <w:spacing w:after="20"/>
      </w:pPr>
      <w:r>
        <w:t>Structure alignment</w:t>
      </w:r>
    </w:p>
    <w:p>
      <w:pPr>
        <w:pStyle w:val="ListBullet"/>
        <w:spacing w:after="20"/>
      </w:pPr>
      <w:r>
        <w:t>Liquidity-event quality</w:t>
      </w:r>
    </w:p>
    <w:p>
      <w:pPr>
        <w:pStyle w:val="ListBullet"/>
        <w:spacing w:after="20"/>
      </w:pPr>
      <w:r>
        <w:t>FVG/OB/imbalance confluence</w:t>
      </w:r>
    </w:p>
    <w:p>
      <w:pPr>
        <w:pStyle w:val="ListBullet"/>
        <w:spacing w:after="20"/>
      </w:pPr>
      <w:r>
        <w:t>Retail flow confirmation</w:t>
      </w:r>
    </w:p>
    <w:p>
      <w:pPr>
        <w:pStyle w:val="ListBullet"/>
        <w:spacing w:after="20"/>
      </w:pPr>
      <w:r>
        <w:t>Flow divergence/transition</w:t>
      </w:r>
    </w:p>
    <w:p>
      <w:pPr>
        <w:pStyle w:val="ListBullet"/>
        <w:spacing w:after="20"/>
      </w:pPr>
      <w:r>
        <w:t>VWAP/value context</w:t>
      </w:r>
    </w:p>
    <w:p>
      <w:pPr>
        <w:pStyle w:val="ListBullet"/>
        <w:spacing w:after="20"/>
      </w:pPr>
      <w:r>
        <w:t>Regime compatibility</w:t>
      </w:r>
    </w:p>
    <w:p>
      <w:pPr>
        <w:pStyle w:val="ListBullet"/>
        <w:spacing w:after="20"/>
      </w:pPr>
      <w:r>
        <w:t>News/session compatibility</w:t>
      </w:r>
    </w:p>
    <w:p>
      <w:pPr>
        <w:pStyle w:val="ListBullet"/>
        <w:spacing w:after="20"/>
      </w:pPr>
      <w:r>
        <w:t>CFTC positioning context</w:t>
      </w:r>
    </w:p>
    <w:p>
      <w:pPr>
        <w:pStyle w:val="ListBullet"/>
        <w:spacing w:after="20"/>
      </w:pPr>
      <w:r>
        <w:t>Risk/reward feasibility</w:t>
      </w:r>
    </w:p>
    <w:p>
      <w:pPr>
        <w:pStyle w:val="ListBullet"/>
        <w:spacing w:after="20"/>
      </w:pPr>
      <w:r>
        <w:t>Execution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Strategy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Typical condition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Continuation/trend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Directional structure + displacement + compatible flow/regime; CFTC can provide slow context.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Mean reversion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Value/range + liquidity extreme + exhaustion/flow divergence; CFTC can contextualize crowding.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No trade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Conflicting regime, poor execution, stale data, insufficient edge or risk violation.</w:t>
            </w:r>
          </w:p>
        </w:tc>
      </w:tr>
    </w:tbl>
    <w:p/>
    <w:p>
      <w:pPr>
        <w:pStyle w:val="Heading1"/>
      </w:pPr>
      <w:r>
        <w:t>15. Risk Management and USD 200 Feasibility</w:t>
      </w:r>
    </w:p>
    <w:p>
      <w:pPr>
        <w:spacing w:after="80"/>
      </w:pPr>
      <w:r>
        <w:rPr>
          <w:b w:val="0"/>
        </w:rPr>
        <w:t>USD 200 is the engineering feasibility baseline from the project specification. It is not a claim that such an account is economically suitable or that profitability is assured.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V36.1 baseline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Risk per trade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0.5%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Daily loss limit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Total loss limit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5.0%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Partial exit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2.0R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Trailing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Enabled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ATR trailing multiplier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1.5</w:t>
            </w:r>
          </w:p>
        </w:tc>
      </w:tr>
    </w:tbl>
    <w:p/>
    <w:p>
      <w:pPr>
        <w:pStyle w:val="ListBullet"/>
        <w:spacing w:after="20"/>
      </w:pPr>
      <w:r>
        <w:t>Risk sizing uses current equity/balance, stop distance, tick value and broker constraints.</w:t>
      </w:r>
    </w:p>
    <w:p>
      <w:pPr>
        <w:pStyle w:val="ListBullet"/>
        <w:spacing w:after="20"/>
      </w:pPr>
      <w:r>
        <w:t>Minimum lot and lot step may prevent exact theoretical risk.</w:t>
      </w:r>
    </w:p>
    <w:p>
      <w:pPr>
        <w:pStyle w:val="ListBullet"/>
        <w:spacing w:after="20"/>
      </w:pPr>
      <w:r>
        <w:t>Margin must be checked before order submission.</w:t>
      </w:r>
    </w:p>
    <w:p>
      <w:pPr>
        <w:pStyle w:val="ListBullet"/>
        <w:spacing w:after="20"/>
      </w:pPr>
      <w:r>
        <w:t>Spread and expected execution costs must be included.</w:t>
      </w:r>
    </w:p>
    <w:p>
      <w:pPr>
        <w:pStyle w:val="ListBullet"/>
        <w:spacing w:after="20"/>
      </w:pPr>
      <w:r>
        <w:t>Daily and total loss limits are hard gates.</w:t>
      </w:r>
    </w:p>
    <w:p>
      <w:pPr>
        <w:pStyle w:val="Heading1"/>
      </w:pPr>
      <w:r>
        <w:t>16. Position Management</w:t>
      </w:r>
    </w:p>
    <w:p>
      <w:pPr>
        <w:pStyle w:val="ListBullet"/>
        <w:spacing w:after="20"/>
      </w:pPr>
      <w:r>
        <w:t>Initial hard stop</w:t>
      </w:r>
    </w:p>
    <w:p>
      <w:pPr>
        <w:pStyle w:val="ListBullet"/>
        <w:spacing w:after="20"/>
      </w:pPr>
      <w:r>
        <w:t>Primary target</w:t>
      </w:r>
    </w:p>
    <w:p>
      <w:pPr>
        <w:pStyle w:val="ListBullet"/>
        <w:spacing w:after="20"/>
      </w:pPr>
      <w:r>
        <w:t>Partial close at configured R</w:t>
      </w:r>
    </w:p>
    <w:p>
      <w:pPr>
        <w:pStyle w:val="ListBullet"/>
        <w:spacing w:after="20"/>
      </w:pPr>
      <w:r>
        <w:t>ATR trailing</w:t>
      </w:r>
    </w:p>
    <w:p>
      <w:pPr>
        <w:pStyle w:val="ListBullet"/>
        <w:spacing w:after="20"/>
      </w:pPr>
      <w:r>
        <w:t>Liquidity/structure invalidation</w:t>
      </w:r>
    </w:p>
    <w:p>
      <w:pPr>
        <w:pStyle w:val="ListBullet"/>
        <w:spacing w:after="20"/>
      </w:pPr>
      <w:r>
        <w:t>News/event management</w:t>
      </w:r>
    </w:p>
    <w:p>
      <w:pPr>
        <w:pStyle w:val="ListBullet"/>
        <w:spacing w:after="20"/>
      </w:pPr>
      <w:r>
        <w:t>Emergency safety close</w:t>
      </w:r>
    </w:p>
    <w:p>
      <w:pPr>
        <w:spacing w:after="80"/>
      </w:pPr>
      <w:r>
        <w:rPr>
          <w:b w:val="0"/>
        </w:rPr>
        <w:t>Historical exits must never use future candle extremes to manufacture performance.</w:t>
      </w:r>
    </w:p>
    <w:p>
      <w:pPr>
        <w:pStyle w:val="Heading1"/>
      </w:pPr>
      <w:r>
        <w:t>17. Python–MT5 Communication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Message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MarketSnapshot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MT5 → Python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Current market state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MarketEvent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Either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State transition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FeatureSnapshot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Python/store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Derived features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RegimeState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Python → MT5/store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Current regime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StrategyScore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Python → MT5/store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Candidate score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TradeIntent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Python → MT5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Action proposal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RiskValidation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MT5 → store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Risk decision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ExecutionRecord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MT5 → Python/store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Broker outcome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Heartbeat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Liveness</w:t>
            </w:r>
          </w:p>
        </w:tc>
      </w:tr>
    </w:tbl>
    <w:p/>
    <w:p>
      <w:pPr>
        <w:spacing w:after="80"/>
      </w:pPr>
      <w:r>
        <w:rPr>
          <w:b w:val="0"/>
        </w:rPr>
        <w:t>A lightweight local transport is preferred initially. SQLite/local files or localhost IPC are acceptable if atomicity, freshness and idempotency are guaranteed. ZeroMQ can be introduced later when the foundation is stable.</w:t>
      </w:r>
    </w:p>
    <w:p>
      <w:pPr>
        <w:pStyle w:val="Heading1"/>
      </w:pPr>
      <w:r>
        <w:t>18. Backtesting and Deterministic Replay</w:t>
      </w:r>
    </w:p>
    <w:p>
      <w:pPr>
        <w:pStyle w:val="ListBullet"/>
        <w:spacing w:after="20"/>
      </w:pPr>
      <w:r>
        <w:t>Python historical research</w:t>
      </w:r>
    </w:p>
    <w:p>
      <w:pPr>
        <w:pStyle w:val="ListBullet"/>
        <w:spacing w:after="20"/>
      </w:pPr>
      <w:r>
        <w:t>MT5 Strategy Tester</w:t>
      </w:r>
    </w:p>
    <w:p>
      <w:pPr>
        <w:pStyle w:val="ListBullet"/>
        <w:spacing w:after="20"/>
      </w:pPr>
      <w:r>
        <w:t>Forward testing</w:t>
      </w:r>
    </w:p>
    <w:p>
      <w:pPr>
        <w:pStyle w:val="ListBullet"/>
        <w:spacing w:after="20"/>
      </w:pPr>
      <w:r>
        <w:t>Shadow/paper trading</w:t>
      </w:r>
    </w:p>
    <w:p>
      <w:pPr>
        <w:pStyle w:val="ListBullet"/>
        <w:spacing w:after="20"/>
      </w:pPr>
      <w:r>
        <w:t>Controlled live testing</w:t>
      </w:r>
    </w:p>
    <w:p>
      <w:pPr>
        <w:pStyle w:val="Heading2"/>
      </w:pPr>
      <w:r>
        <w:t>18.1 CFTC replay rules</w:t>
      </w:r>
    </w:p>
    <w:p>
      <w:pPr>
        <w:pStyle w:val="ListBullet"/>
        <w:spacing w:after="20"/>
      </w:pPr>
      <w:r>
        <w:t>Load CFTC raw data without altering historical timestamps.</w:t>
      </w:r>
    </w:p>
    <w:p>
      <w:pPr>
        <w:pStyle w:val="ListBullet"/>
        <w:spacing w:after="20"/>
      </w:pPr>
      <w:r>
        <w:t>Convert report availability into UTC.</w:t>
      </w:r>
    </w:p>
    <w:p>
      <w:pPr>
        <w:pStyle w:val="ListBullet"/>
        <w:spacing w:after="20"/>
      </w:pPr>
      <w:r>
        <w:t>Keep report_date and publication_timestamp as separate fields.</w:t>
      </w:r>
    </w:p>
    <w:p>
      <w:pPr>
        <w:pStyle w:val="ListBullet"/>
        <w:spacing w:after="20"/>
      </w:pPr>
      <w:r>
        <w:t>Before publication: CFTC state is unavailable.</w:t>
      </w:r>
    </w:p>
    <w:p>
      <w:pPr>
        <w:pStyle w:val="ListBullet"/>
        <w:spacing w:after="20"/>
      </w:pPr>
      <w:r>
        <w:t>After publication: latest eligible report remains active until a newer eligible report appears.</w:t>
      </w:r>
    </w:p>
    <w:p>
      <w:pPr>
        <w:pStyle w:val="ListBullet"/>
        <w:spacing w:after="20"/>
      </w:pPr>
      <w:r>
        <w:t>Never use a later report to explain an earlier trade.</w:t>
      </w:r>
    </w:p>
    <w:p>
      <w:pPr>
        <w:pStyle w:val="Heading2"/>
      </w:pPr>
      <w:r>
        <w:t>18.2 Transaction-cost model</w:t>
      </w:r>
    </w:p>
    <w:p>
      <w:pPr>
        <w:pStyle w:val="ListBullet"/>
        <w:spacing w:after="20"/>
      </w:pPr>
      <w:r>
        <w:t>Spread</w:t>
      </w:r>
    </w:p>
    <w:p>
      <w:pPr>
        <w:pStyle w:val="ListBullet"/>
        <w:spacing w:after="20"/>
      </w:pPr>
      <w:r>
        <w:t>Slippage</w:t>
      </w:r>
    </w:p>
    <w:p>
      <w:pPr>
        <w:pStyle w:val="ListBullet"/>
        <w:spacing w:after="20"/>
      </w:pPr>
      <w:r>
        <w:t>Commission</w:t>
      </w:r>
    </w:p>
    <w:p>
      <w:pPr>
        <w:pStyle w:val="ListBullet"/>
        <w:spacing w:after="20"/>
      </w:pPr>
      <w:r>
        <w:t>Latency</w:t>
      </w:r>
    </w:p>
    <w:p>
      <w:pPr>
        <w:pStyle w:val="ListBullet"/>
        <w:spacing w:after="20"/>
      </w:pPr>
      <w:r>
        <w:t>Minimum lot/step</w:t>
      </w:r>
    </w:p>
    <w:p>
      <w:pPr>
        <w:pStyle w:val="ListBullet"/>
        <w:spacing w:after="20"/>
      </w:pPr>
      <w:r>
        <w:t>Stops/freeze levels</w:t>
      </w:r>
    </w:p>
    <w:p>
      <w:pPr>
        <w:pStyle w:val="ListBullet"/>
        <w:spacing w:after="20"/>
      </w:pPr>
      <w:r>
        <w:t>Broker tick-value/contract constraints</w:t>
      </w:r>
    </w:p>
    <w:p>
      <w:pPr>
        <w:pStyle w:val="Heading1"/>
      </w:pPr>
      <w:r>
        <w:t>19. Look-Ahead Prevention</w:t>
      </w:r>
    </w:p>
    <w:p>
      <w:pPr>
        <w:spacing w:after="80"/>
      </w:pPr>
      <w:r>
        <w:rPr>
          <w:b w:val="0"/>
        </w:rPr>
        <w:t>At timestamp t, every feature must be derivable from information available by t and legitimate previously stored state.</w:t>
      </w:r>
    </w:p>
    <w:p>
      <w:pPr>
        <w:pStyle w:val="ListBullet"/>
        <w:spacing w:after="20"/>
      </w:pPr>
      <w:r>
        <w:t>Future FVG fill/invalidation state</w:t>
      </w:r>
    </w:p>
    <w:p>
      <w:pPr>
        <w:pStyle w:val="ListBullet"/>
        <w:spacing w:after="20"/>
      </w:pPr>
      <w:r>
        <w:t>Future swing confirmation</w:t>
      </w:r>
    </w:p>
    <w:p>
      <w:pPr>
        <w:pStyle w:val="ListBullet"/>
        <w:spacing w:after="20"/>
      </w:pPr>
      <w:r>
        <w:t>Future candle highs/lows</w:t>
      </w:r>
    </w:p>
    <w:p>
      <w:pPr>
        <w:pStyle w:val="ListBullet"/>
        <w:spacing w:after="20"/>
      </w:pPr>
      <w:r>
        <w:t>Full-sample normalization</w:t>
      </w:r>
    </w:p>
    <w:p>
      <w:pPr>
        <w:pStyle w:val="ListBullet"/>
        <w:spacing w:after="20"/>
      </w:pPr>
      <w:r>
        <w:t>Post-entry information used in entry features</w:t>
      </w:r>
    </w:p>
    <w:p>
      <w:pPr>
        <w:pStyle w:val="ListBullet"/>
        <w:spacing w:after="20"/>
      </w:pPr>
      <w:r>
        <w:t>Future CFTC reports</w:t>
      </w:r>
    </w:p>
    <w:p>
      <w:pPr>
        <w:pStyle w:val="ListBullet"/>
        <w:spacing w:after="20"/>
      </w:pPr>
      <w:r>
        <w:t>External-data revisions without availability/version handling</w:t>
      </w:r>
    </w:p>
    <w:p>
      <w:pPr>
        <w:pStyle w:val="Heading2"/>
      </w:pPr>
      <w:r>
        <w:t>19.1 Required regression tests</w:t>
      </w:r>
    </w:p>
    <w:p>
      <w:pPr>
        <w:pStyle w:val="ListBullet"/>
        <w:spacing w:after="20"/>
      </w:pPr>
      <w:r>
        <w:t>Per-bar FVG lifecycle</w:t>
      </w:r>
    </w:p>
    <w:p>
      <w:pPr>
        <w:pStyle w:val="ListBullet"/>
        <w:spacing w:after="20"/>
      </w:pPr>
      <w:r>
        <w:t>Nearest-open-FVG selection</w:t>
      </w:r>
    </w:p>
    <w:p>
      <w:pPr>
        <w:pStyle w:val="ListBullet"/>
        <w:spacing w:after="20"/>
      </w:pPr>
      <w:r>
        <w:t>Structure-event timing</w:t>
      </w:r>
    </w:p>
    <w:p>
      <w:pPr>
        <w:pStyle w:val="ListBullet"/>
        <w:spacing w:after="20"/>
      </w:pPr>
      <w:r>
        <w:t>Feature snapshot causality</w:t>
      </w:r>
    </w:p>
    <w:p>
      <w:pPr>
        <w:pStyle w:val="ListBullet"/>
        <w:spacing w:after="20"/>
      </w:pPr>
      <w:r>
        <w:t>CFTC publication-time gating</w:t>
      </w:r>
    </w:p>
    <w:p>
      <w:pPr>
        <w:pStyle w:val="ListBullet"/>
        <w:spacing w:after="20"/>
      </w:pPr>
      <w:r>
        <w:t>Train/test contamination</w:t>
      </w:r>
    </w:p>
    <w:p>
      <w:pPr>
        <w:pStyle w:val="ListBullet"/>
        <w:spacing w:after="20"/>
      </w:pPr>
      <w:r>
        <w:t>Deterministic replay</w:t>
      </w:r>
    </w:p>
    <w:p>
      <w:pPr>
        <w:pStyle w:val="Heading1"/>
      </w:pPr>
      <w:r>
        <w:t>20. ML / AI Gatekeeper</w:t>
      </w:r>
    </w:p>
    <w:p>
      <w:pPr>
        <w:spacing w:after="80"/>
      </w:pPr>
      <w:r>
        <w:rPr>
          <w:b w:val="0"/>
        </w:rPr>
        <w:t>The deterministic system remains the benchmark. ML is introduced only if it demonstrates incremental out-of-sample value.</w:t>
      </w:r>
    </w:p>
    <w:p>
      <w:pPr>
        <w:pStyle w:val="ListBullet"/>
        <w:spacing w:after="20"/>
      </w:pPr>
      <w:r>
        <w:t>LightGBM for compact tabular classification/ranking</w:t>
      </w:r>
    </w:p>
    <w:p>
      <w:pPr>
        <w:pStyle w:val="ListBullet"/>
        <w:spacing w:after="20"/>
      </w:pPr>
      <w:r>
        <w:t>ONNX for controlled portable inference</w:t>
      </w:r>
    </w:p>
    <w:p>
      <w:pPr>
        <w:pStyle w:val="ListBullet"/>
        <w:spacing w:after="20"/>
      </w:pPr>
      <w:r>
        <w:t>River-style online learning only after drift and rollback controls</w:t>
      </w:r>
    </w:p>
    <w:p>
      <w:pPr>
        <w:spacing w:after="80"/>
      </w:pPr>
      <w:r>
        <w:rPr>
          <w:b w:val="0"/>
        </w:rPr>
        <w:t>ML may rank or veto candidate trades but cannot bypass MQL5 risk controls.</w:t>
      </w:r>
    </w:p>
    <w:p>
      <w:pPr>
        <w:spacing w:after="80"/>
      </w:pPr>
      <w:r>
        <w:rPr>
          <w:b w:val="0"/>
        </w:rPr>
        <w:t>CFTC features entering ML must be timestamp-gated by their publication availability.</w:t>
      </w:r>
    </w:p>
    <w:p>
      <w:pPr>
        <w:pStyle w:val="Heading1"/>
      </w:pPr>
      <w:r>
        <w:t>21. Health, Heartbeat and Fail-Safe</w:t>
      </w:r>
    </w:p>
    <w:p>
      <w:pPr>
        <w:pStyle w:val="ListBullet"/>
        <w:spacing w:after="20"/>
      </w:pPr>
      <w:r>
        <w:t>Python heartbeat</w:t>
      </w:r>
    </w:p>
    <w:p>
      <w:pPr>
        <w:pStyle w:val="ListBullet"/>
        <w:spacing w:after="20"/>
      </w:pPr>
      <w:r>
        <w:t>MT5 heartbeat</w:t>
      </w:r>
    </w:p>
    <w:p>
      <w:pPr>
        <w:pStyle w:val="ListBullet"/>
        <w:spacing w:after="20"/>
      </w:pPr>
      <w:r>
        <w:t>Last market-data timestamp</w:t>
      </w:r>
    </w:p>
    <w:p>
      <w:pPr>
        <w:pStyle w:val="ListBullet"/>
        <w:spacing w:after="20"/>
      </w:pPr>
      <w:r>
        <w:t>Last event processed</w:t>
      </w:r>
    </w:p>
    <w:p>
      <w:pPr>
        <w:pStyle w:val="ListBullet"/>
        <w:spacing w:after="20"/>
      </w:pPr>
      <w:r>
        <w:t>Last TradeIntent</w:t>
      </w:r>
    </w:p>
    <w:p>
      <w:pPr>
        <w:pStyle w:val="ListBullet"/>
        <w:spacing w:after="20"/>
      </w:pPr>
      <w:r>
        <w:t>Last execution acknowledgement</w:t>
      </w:r>
    </w:p>
    <w:p>
      <w:pPr>
        <w:pStyle w:val="ListBullet"/>
        <w:spacing w:after="20"/>
      </w:pPr>
      <w:r>
        <w:t>Bridge backlog</w:t>
      </w:r>
    </w:p>
    <w:p>
      <w:pPr>
        <w:pStyle w:val="ListBullet"/>
        <w:spacing w:after="20"/>
      </w:pPr>
      <w:r>
        <w:t>Last eligible CFTC report</w:t>
      </w:r>
    </w:p>
    <w:p>
      <w:pPr>
        <w:pStyle w:val="ListBullet"/>
        <w:spacing w:after="20"/>
      </w:pPr>
      <w:r>
        <w:t>External-source freshness</w:t>
      </w:r>
    </w:p>
    <w:p>
      <w:pPr>
        <w:spacing w:after="80"/>
      </w:pPr>
      <w:r>
        <w:rPr>
          <w:b w:val="0"/>
        </w:rPr>
        <w:t>Critical failures default to no new entries while existing positions remain under controlled management.</w:t>
      </w:r>
    </w:p>
    <w:p>
      <w:pPr>
        <w:pStyle w:val="Heading1"/>
      </w:pPr>
      <w:r>
        <w:t>22. Storage and Auditability</w:t>
      </w:r>
    </w:p>
    <w:p>
      <w:pPr>
        <w:pStyle w:val="ListBullet"/>
        <w:spacing w:after="20"/>
      </w:pPr>
      <w:r>
        <w:t>Raw market data</w:t>
      </w:r>
    </w:p>
    <w:p>
      <w:pPr>
        <w:pStyle w:val="ListBullet"/>
        <w:spacing w:after="20"/>
      </w:pPr>
      <w:r>
        <w:t>Normalized market data</w:t>
      </w:r>
    </w:p>
    <w:p>
      <w:pPr>
        <w:pStyle w:val="ListBullet"/>
        <w:spacing w:after="20"/>
      </w:pPr>
      <w:r>
        <w:t>Event lifecycles</w:t>
      </w:r>
    </w:p>
    <w:p>
      <w:pPr>
        <w:pStyle w:val="ListBullet"/>
        <w:spacing w:after="20"/>
      </w:pPr>
      <w:r>
        <w:t>Feature snapshots</w:t>
      </w:r>
    </w:p>
    <w:p>
      <w:pPr>
        <w:pStyle w:val="ListBullet"/>
        <w:spacing w:after="20"/>
      </w:pPr>
      <w:r>
        <w:t>Regime states</w:t>
      </w:r>
    </w:p>
    <w:p>
      <w:pPr>
        <w:pStyle w:val="ListBullet"/>
        <w:spacing w:after="20"/>
      </w:pPr>
      <w:r>
        <w:t>Strategy scores</w:t>
      </w:r>
    </w:p>
    <w:p>
      <w:pPr>
        <w:pStyle w:val="ListBullet"/>
        <w:spacing w:after="20"/>
      </w:pPr>
      <w:r>
        <w:t>Trade intents</w:t>
      </w:r>
    </w:p>
    <w:p>
      <w:pPr>
        <w:pStyle w:val="ListBullet"/>
        <w:spacing w:after="20"/>
      </w:pPr>
      <w:r>
        <w:t>Risk validations</w:t>
      </w:r>
    </w:p>
    <w:p>
      <w:pPr>
        <w:pStyle w:val="ListBullet"/>
        <w:spacing w:after="20"/>
      </w:pPr>
      <w:r>
        <w:t>Execution records</w:t>
      </w:r>
    </w:p>
    <w:p>
      <w:pPr>
        <w:pStyle w:val="ListBullet"/>
        <w:spacing w:after="20"/>
      </w:pPr>
      <w:r>
        <w:t>Position lifecycle</w:t>
      </w:r>
    </w:p>
    <w:p>
      <w:pPr>
        <w:pStyle w:val="ListBullet"/>
        <w:spacing w:after="20"/>
      </w:pPr>
      <w:r>
        <w:t>News state</w:t>
      </w:r>
    </w:p>
    <w:p>
      <w:pPr>
        <w:pStyle w:val="ListBullet"/>
        <w:spacing w:after="20"/>
      </w:pPr>
      <w:r>
        <w:t>CFTC raw and normalized data</w:t>
      </w:r>
    </w:p>
    <w:p>
      <w:pPr>
        <w:pStyle w:val="ListBullet"/>
        <w:spacing w:after="20"/>
      </w:pPr>
      <w:r>
        <w:t>CFTC feature snapshots</w:t>
      </w:r>
    </w:p>
    <w:p>
      <w:pPr>
        <w:pStyle w:val="ListBullet"/>
        <w:spacing w:after="20"/>
      </w:pPr>
      <w:r>
        <w:t>Configuration/model hashes</w:t>
      </w:r>
    </w:p>
    <w:p>
      <w:pPr>
        <w:pStyle w:val="ListBullet"/>
        <w:spacing w:after="20"/>
      </w:pPr>
      <w:r>
        <w:t>Errors and heartbeats</w:t>
      </w:r>
    </w:p>
    <w:p>
      <w:pPr>
        <w:spacing w:after="80"/>
      </w:pPr>
      <w:r>
        <w:rPr>
          <w:b w:val="0"/>
        </w:rPr>
        <w:t>Every trade must be traceable to the active market snapshot, feature version, regime, strategy score, active CFTC report where applicable, risk decision and execution outcome.</w:t>
      </w:r>
    </w:p>
    <w:p>
      <w:pPr>
        <w:pStyle w:val="Heading1"/>
      </w:pPr>
      <w:r>
        <w:t>23. Testing and Acceptance Criteria</w:t>
      </w:r>
    </w:p>
    <w:p>
      <w:pPr>
        <w:pStyle w:val="Heading2"/>
      </w:pPr>
      <w:r>
        <w:t>23.1 Unit tests</w:t>
      </w:r>
    </w:p>
    <w:p>
      <w:pPr>
        <w:pStyle w:val="ListBullet"/>
        <w:spacing w:after="20"/>
      </w:pPr>
      <w:r>
        <w:t>Point/digit normalization</w:t>
      </w:r>
    </w:p>
    <w:p>
      <w:pPr>
        <w:pStyle w:val="ListBullet"/>
        <w:spacing w:after="20"/>
      </w:pPr>
      <w:r>
        <w:t>Volume/risk sizing</w:t>
      </w:r>
    </w:p>
    <w:p>
      <w:pPr>
        <w:pStyle w:val="ListBullet"/>
        <w:spacing w:after="20"/>
      </w:pPr>
      <w:r>
        <w:t>Spread calculation</w:t>
      </w:r>
    </w:p>
    <w:p>
      <w:pPr>
        <w:pStyle w:val="ListBullet"/>
        <w:spacing w:after="20"/>
      </w:pPr>
      <w:r>
        <w:t>Session boundaries</w:t>
      </w:r>
    </w:p>
    <w:p>
      <w:pPr>
        <w:pStyle w:val="ListBullet"/>
        <w:spacing w:after="20"/>
      </w:pPr>
      <w:r>
        <w:t>News windows</w:t>
      </w:r>
    </w:p>
    <w:p>
      <w:pPr>
        <w:pStyle w:val="ListBullet"/>
        <w:spacing w:after="20"/>
      </w:pPr>
      <w:r>
        <w:t>Structure events</w:t>
      </w:r>
    </w:p>
    <w:p>
      <w:pPr>
        <w:pStyle w:val="ListBullet"/>
        <w:spacing w:after="20"/>
      </w:pPr>
      <w:r>
        <w:t>FVG lifecycle</w:t>
      </w:r>
    </w:p>
    <w:p>
      <w:pPr>
        <w:pStyle w:val="ListBullet"/>
        <w:spacing w:after="20"/>
      </w:pPr>
      <w:r>
        <w:t>Order-flow transitions</w:t>
      </w:r>
    </w:p>
    <w:p>
      <w:pPr>
        <w:pStyle w:val="ListBullet"/>
        <w:spacing w:after="20"/>
      </w:pPr>
      <w:r>
        <w:t>VWAP/value</w:t>
      </w:r>
    </w:p>
    <w:p>
      <w:pPr>
        <w:pStyle w:val="ListBullet"/>
        <w:spacing w:after="20"/>
      </w:pPr>
      <w:r>
        <w:t>Regime classification</w:t>
      </w:r>
    </w:p>
    <w:p>
      <w:pPr>
        <w:pStyle w:val="ListBullet"/>
        <w:spacing w:after="20"/>
      </w:pPr>
      <w:r>
        <w:t>CFTC parsing</w:t>
      </w:r>
    </w:p>
    <w:p>
      <w:pPr>
        <w:pStyle w:val="ListBullet"/>
        <w:spacing w:after="20"/>
      </w:pPr>
      <w:r>
        <w:t>CFTC feature calculations</w:t>
      </w:r>
    </w:p>
    <w:p>
      <w:pPr>
        <w:pStyle w:val="ListBullet"/>
        <w:spacing w:after="20"/>
      </w:pPr>
      <w:r>
        <w:t>CFTC publication gating</w:t>
      </w:r>
    </w:p>
    <w:p>
      <w:pPr>
        <w:pStyle w:val="ListBullet"/>
        <w:spacing w:after="20"/>
      </w:pPr>
      <w:r>
        <w:t>TradeIntent validation</w:t>
      </w:r>
    </w:p>
    <w:p>
      <w:pPr>
        <w:pStyle w:val="Heading2"/>
      </w:pPr>
      <w:r>
        <w:t>23.2 Integration tests</w:t>
      </w:r>
    </w:p>
    <w:p>
      <w:pPr>
        <w:pStyle w:val="ListBullet"/>
        <w:spacing w:after="20"/>
      </w:pPr>
      <w:r>
        <w:t>MT5 → bridge → Python</w:t>
      </w:r>
    </w:p>
    <w:p>
      <w:pPr>
        <w:pStyle w:val="ListBullet"/>
        <w:spacing w:after="20"/>
      </w:pPr>
      <w:r>
        <w:t>Python → TradeIntent → MT5</w:t>
      </w:r>
    </w:p>
    <w:p>
      <w:pPr>
        <w:pStyle w:val="ListBullet"/>
        <w:spacing w:after="20"/>
      </w:pPr>
      <w:r>
        <w:t>Risk veto</w:t>
      </w:r>
    </w:p>
    <w:p>
      <w:pPr>
        <w:pStyle w:val="ListBullet"/>
        <w:spacing w:after="20"/>
      </w:pPr>
      <w:r>
        <w:t>Duplicate intent handling</w:t>
      </w:r>
    </w:p>
    <w:p>
      <w:pPr>
        <w:pStyle w:val="ListBullet"/>
        <w:spacing w:after="20"/>
      </w:pPr>
      <w:r>
        <w:t>Execution acknowledgement</w:t>
      </w:r>
    </w:p>
    <w:p>
      <w:pPr>
        <w:pStyle w:val="ListBullet"/>
        <w:spacing w:after="20"/>
      </w:pPr>
      <w:r>
        <w:t>Heartbeat timeout</w:t>
      </w:r>
    </w:p>
    <w:p>
      <w:pPr>
        <w:pStyle w:val="ListBullet"/>
        <w:spacing w:after="20"/>
      </w:pPr>
      <w:r>
        <w:t>Restart/recovery</w:t>
      </w:r>
    </w:p>
    <w:p>
      <w:pPr>
        <w:pStyle w:val="ListBullet"/>
        <w:spacing w:after="20"/>
      </w:pPr>
      <w:r>
        <w:t>CFTC update ingestion</w:t>
      </w:r>
    </w:p>
    <w:p>
      <w:pPr>
        <w:pStyle w:val="Heading2"/>
      </w:pPr>
      <w:r>
        <w:t>23.3 Release gates</w:t>
      </w:r>
    </w:p>
    <w:p>
      <w:pPr>
        <w:pStyle w:val="ListBullet"/>
        <w:spacing w:after="20"/>
      </w:pPr>
      <w:r>
        <w:t>No look-ahead under automated causal tests</w:t>
      </w:r>
    </w:p>
    <w:p>
      <w:pPr>
        <w:pStyle w:val="ListBullet"/>
        <w:spacing w:after="20"/>
      </w:pPr>
      <w:r>
        <w:t>Deterministic replay</w:t>
      </w:r>
    </w:p>
    <w:p>
      <w:pPr>
        <w:pStyle w:val="ListBullet"/>
        <w:spacing w:after="20"/>
      </w:pPr>
      <w:r>
        <w:t>Every trade has a decision ID and version</w:t>
      </w:r>
    </w:p>
    <w:p>
      <w:pPr>
        <w:pStyle w:val="ListBullet"/>
        <w:spacing w:after="20"/>
      </w:pPr>
      <w:r>
        <w:t>MQL5 hard-risk veto cannot be bypassed</w:t>
      </w:r>
    </w:p>
    <w:p>
      <w:pPr>
        <w:pStyle w:val="ListBullet"/>
        <w:spacing w:after="20"/>
      </w:pPr>
      <w:r>
        <w:t>Broker-specific XAUUSD precision is correct</w:t>
      </w:r>
    </w:p>
    <w:p>
      <w:pPr>
        <w:pStyle w:val="ListBullet"/>
        <w:spacing w:after="20"/>
      </w:pPr>
      <w:r>
        <w:t>Python/bridge failure fails closed</w:t>
      </w:r>
    </w:p>
    <w:p>
      <w:pPr>
        <w:pStyle w:val="ListBullet"/>
        <w:spacing w:after="20"/>
      </w:pPr>
      <w:r>
        <w:t>CFTC is unavailable before publication</w:t>
      </w:r>
    </w:p>
    <w:p>
      <w:pPr>
        <w:pStyle w:val="ListBullet"/>
        <w:spacing w:after="20"/>
      </w:pPr>
      <w:r>
        <w:t>Transaction costs are represented</w:t>
      </w:r>
    </w:p>
    <w:p>
      <w:pPr>
        <w:pStyle w:val="ListBullet"/>
        <w:spacing w:after="20"/>
      </w:pPr>
      <w:r>
        <w:t>External data has freshness and provenance</w:t>
      </w:r>
    </w:p>
    <w:p>
      <w:pPr>
        <w:pStyle w:val="Heading1"/>
      </w:pPr>
      <w:r>
        <w:t>24. Low-Resource Deployment</w:t>
      </w:r>
    </w:p>
    <w:p>
      <w:pPr>
        <w:spacing w:after="80"/>
      </w:pPr>
      <w:r>
        <w:rPr>
          <w:b w:val="0"/>
        </w:rPr>
        <w:t>The system should remain practical on the established low-end development environment.</w:t>
      </w:r>
    </w:p>
    <w:p>
      <w:pPr>
        <w:pStyle w:val="ListBullet"/>
        <w:spacing w:after="20"/>
      </w:pPr>
      <w:r>
        <w:t>SQLite/local files initially</w:t>
      </w:r>
    </w:p>
    <w:p>
      <w:pPr>
        <w:pStyle w:val="ListBullet"/>
        <w:spacing w:after="20"/>
      </w:pPr>
      <w:r>
        <w:t>Chunk historical processing</w:t>
      </w:r>
    </w:p>
    <w:p>
      <w:pPr>
        <w:pStyle w:val="ListBullet"/>
        <w:spacing w:after="20"/>
      </w:pPr>
      <w:r>
        <w:t>Compact feature storage</w:t>
      </w:r>
    </w:p>
    <w:p>
      <w:pPr>
        <w:pStyle w:val="ListBullet"/>
        <w:spacing w:after="20"/>
      </w:pPr>
      <w:r>
        <w:t>Offline model training</w:t>
      </w:r>
    </w:p>
    <w:p>
      <w:pPr>
        <w:pStyle w:val="ListBullet"/>
        <w:spacing w:after="20"/>
      </w:pPr>
      <w:r>
        <w:t>Local CFTC cache</w:t>
      </w:r>
    </w:p>
    <w:p>
      <w:pPr>
        <w:pStyle w:val="ListBullet"/>
        <w:spacing w:after="20"/>
      </w:pPr>
      <w:r>
        <w:t>Avoid unnecessary distributed services</w:t>
      </w:r>
    </w:p>
    <w:p>
      <w:pPr>
        <w:pStyle w:val="ListBullet"/>
        <w:spacing w:after="20"/>
      </w:pPr>
      <w:r>
        <w:t>Add ZeroMQ only when justified</w:t>
      </w:r>
    </w:p>
    <w:p>
      <w:pPr>
        <w:pStyle w:val="Heading1"/>
      </w:pPr>
      <w:r>
        <w:t>25. Security and Operational Controls</w:t>
      </w:r>
    </w:p>
    <w:p>
      <w:pPr>
        <w:pStyle w:val="ListBullet"/>
        <w:spacing w:after="20"/>
      </w:pPr>
      <w:r>
        <w:t>Keep broker credentials outside source code</w:t>
      </w:r>
    </w:p>
    <w:p>
      <w:pPr>
        <w:pStyle w:val="ListBullet"/>
        <w:spacing w:after="20"/>
      </w:pPr>
      <w:r>
        <w:t>Validate all message schemas</w:t>
      </w:r>
    </w:p>
    <w:p>
      <w:pPr>
        <w:pStyle w:val="ListBullet"/>
        <w:spacing w:after="20"/>
      </w:pPr>
      <w:r>
        <w:t>Reject stale/malformed intents</w:t>
      </w:r>
    </w:p>
    <w:p>
      <w:pPr>
        <w:pStyle w:val="ListBullet"/>
        <w:spacing w:after="20"/>
      </w:pPr>
      <w:r>
        <w:t>Emergency kill switch</w:t>
      </w:r>
    </w:p>
    <w:p>
      <w:pPr>
        <w:pStyle w:val="ListBullet"/>
        <w:spacing w:after="20"/>
      </w:pPr>
      <w:r>
        <w:t>Log configuration/model hashes</w:t>
      </w:r>
    </w:p>
    <w:p>
      <w:pPr>
        <w:pStyle w:val="ListBullet"/>
        <w:spacing w:after="20"/>
      </w:pPr>
      <w:r>
        <w:t>Research layer has no direct order authority</w:t>
      </w:r>
    </w:p>
    <w:p>
      <w:pPr>
        <w:pStyle w:val="ListBullet"/>
        <w:spacing w:after="20"/>
      </w:pPr>
      <w:r>
        <w:t>External data cannot directly place an order</w:t>
      </w:r>
    </w:p>
    <w:p>
      <w:pPr>
        <w:pStyle w:val="Heading1"/>
      </w:pPr>
      <w:r>
        <w:t>26. Repository and File Contracts</w:t>
      </w:r>
    </w:p>
    <w:p>
      <w:pPr>
        <w:spacing w:after="80"/>
      </w:pPr>
      <w:r>
        <w:rPr>
          <w:b w:val="0"/>
        </w:rPr>
        <w:t>algomind/</w:t>
        <w:br/>
        <w:t>├── mql5/</w:t>
        <w:br/>
        <w:t>├── python/</w:t>
        <w:br/>
        <w:t>│   ├── data/</w:t>
        <w:br/>
        <w:t>│   ├── events/</w:t>
        <w:br/>
        <w:t>│   ├── features/</w:t>
        <w:br/>
        <w:t>│   ├── structure/</w:t>
        <w:br/>
        <w:t>│   ├── orderflow/</w:t>
        <w:br/>
        <w:t>│   ├── regime/</w:t>
        <w:br/>
        <w:t>│   ├── strategy/</w:t>
        <w:br/>
        <w:t>│   ├── backtest/</w:t>
        <w:br/>
        <w:t>│   ├── models/</w:t>
        <w:br/>
        <w:t>│   ├── bridge/</w:t>
        <w:br/>
        <w:t>│   └── diagnostics/</w:t>
        <w:br/>
        <w:t>├── external_data/</w:t>
        <w:br/>
        <w:t>│   ├── cftc/</w:t>
        <w:br/>
        <w:t>│   ├── news/</w:t>
        <w:br/>
        <w:t>│   └── options/</w:t>
        <w:br/>
        <w:t>├── schemas/</w:t>
        <w:br/>
        <w:t>├── config/</w:t>
        <w:br/>
        <w:t>├── tests/</w:t>
        <w:br/>
        <w:t>├── logs/</w:t>
        <w:br/>
        <w:t>└── docs/</w:t>
      </w:r>
    </w:p>
    <w:p>
      <w:pPr>
        <w:spacing w:after="80"/>
      </w:pPr>
      <w:r>
        <w:rPr>
          <w:b w:val="0"/>
        </w:rPr>
        <w:t>Core schemas: market_snapshot_v1, market_event_v1, feature_snapshot_v1, regime_state_v1, strategy_score_v1, trade_intent_v1, risk_validation_v1, execution_record_v1 and cftc_positioning_snapshot_v1.</w:t>
      </w:r>
    </w:p>
    <w:p>
      <w:pPr>
        <w:spacing w:after="80"/>
      </w:pPr>
      <w:r>
        <w:rPr>
          <w:b w:val="0"/>
        </w:rPr>
        <w:t>CFTC raw files are immutable. Normalized CFTC datasets are versioned and retain parser/source metadata.</w:t>
      </w:r>
    </w:p>
    <w:p>
      <w:pPr>
        <w:pStyle w:val="Heading1"/>
      </w:pPr>
      <w:r>
        <w:t>27.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Main deliverable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Exit condition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Foundation, schemas, logging, tests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Contracts validate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MT5 market data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Clean snapshots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Structure/liquidity/FVG/OB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Causal lifecycle tests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Retail order flow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Replay tests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VWAP/value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Features validated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Regime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Stable/auditable regime states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Strategy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Deterministic TradeIntents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Bridge/execution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End-to-end MT5 flow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News + CFTC + other external data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Freshness/PIT controls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ML gatekeeper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Out-of-sample incremental value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Shadow/controlled live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Operational and risk acceptance</w:t>
            </w:r>
          </w:p>
        </w:tc>
      </w:tr>
    </w:tbl>
    <w:p/>
    <w:p>
      <w:pPr>
        <w:pStyle w:val="Heading1"/>
      </w:pPr>
      <w:r>
        <w:t>28. Research Hypotheses and Known Limitations</w:t>
      </w:r>
    </w:p>
    <w:p>
      <w:pPr>
        <w:pStyle w:val="Heading2"/>
      </w:pPr>
      <w:r>
        <w:t>28.1 Limitations</w:t>
      </w:r>
    </w:p>
    <w:p>
      <w:pPr>
        <w:pStyle w:val="ListBullet"/>
        <w:spacing w:after="20"/>
      </w:pPr>
      <w:r>
        <w:t>Retail MT5 does not provide complete institutional/global order-book information.</w:t>
      </w:r>
    </w:p>
    <w:p>
      <w:pPr>
        <w:pStyle w:val="ListBullet"/>
        <w:spacing w:after="20"/>
      </w:pPr>
      <w:r>
        <w:t>Broker tick volume is not centralized exchange volume.</w:t>
      </w:r>
    </w:p>
    <w:p>
      <w:pPr>
        <w:pStyle w:val="ListBullet"/>
        <w:spacing w:after="20"/>
      </w:pPr>
      <w:r>
        <w:t>Retail execution introduces spread, slippage and latency.</w:t>
      </w:r>
    </w:p>
    <w:p>
      <w:pPr>
        <w:pStyle w:val="ListBullet"/>
        <w:spacing w:after="20"/>
      </w:pPr>
      <w:r>
        <w:t>Minimum lot sizes can distort small-account risk targeting.</w:t>
      </w:r>
    </w:p>
    <w:p>
      <w:pPr>
        <w:pStyle w:val="ListBullet"/>
        <w:spacing w:after="20"/>
      </w:pPr>
      <w:r>
        <w:t>CFTC is weekly and slow relative to intraday gold price action.</w:t>
      </w:r>
    </w:p>
    <w:p>
      <w:pPr>
        <w:pStyle w:val="ListBullet"/>
        <w:spacing w:after="20"/>
      </w:pPr>
      <w:r>
        <w:t>CFTC futures positioning is not identical to spot XAUUSD positioning.</w:t>
      </w:r>
    </w:p>
    <w:p>
      <w:pPr>
        <w:pStyle w:val="ListBullet"/>
        <w:spacing w:after="20"/>
      </w:pPr>
      <w:r>
        <w:t>Historical performance depends on data quality and broker-specific assumptions.</w:t>
      </w:r>
    </w:p>
    <w:p>
      <w:pPr>
        <w:pStyle w:val="Heading2"/>
      </w:pPr>
      <w:r>
        <w:t>28.2 Hypotheses to test</w:t>
      </w:r>
    </w:p>
    <w:p>
      <w:pPr>
        <w:pStyle w:val="ListBullet"/>
        <w:spacing w:after="20"/>
      </w:pPr>
      <w:r>
        <w:t>Retail order-flow proxies add information beyond structure.</w:t>
      </w:r>
    </w:p>
    <w:p>
      <w:pPr>
        <w:pStyle w:val="ListBullet"/>
        <w:spacing w:after="20"/>
      </w:pPr>
      <w:r>
        <w:t>Delta divergence/transition improves timing.</w:t>
      </w:r>
    </w:p>
    <w:p>
      <w:pPr>
        <w:pStyle w:val="ListBullet"/>
        <w:spacing w:after="20"/>
      </w:pPr>
      <w:r>
        <w:t>VWAP/value improves selection.</w:t>
      </w:r>
    </w:p>
    <w:p>
      <w:pPr>
        <w:pStyle w:val="ListBullet"/>
        <w:spacing w:after="20"/>
      </w:pPr>
      <w:r>
        <w:t>Regime-aware strategy switching improves robustness.</w:t>
      </w:r>
    </w:p>
    <w:p>
      <w:pPr>
        <w:pStyle w:val="ListBullet"/>
        <w:spacing w:after="20"/>
      </w:pPr>
      <w:r>
        <w:t>CFTC positioning extremes or changes add contextual value to XAUUSD.</w:t>
      </w:r>
    </w:p>
    <w:p>
      <w:pPr>
        <w:pStyle w:val="ListBullet"/>
        <w:spacing w:after="20"/>
      </w:pPr>
      <w:r>
        <w:t>Combining slow CFTC context with fast retail flow improves conditional signal quality.</w:t>
      </w:r>
    </w:p>
    <w:p>
      <w:pPr>
        <w:pStyle w:val="ListBullet"/>
        <w:spacing w:after="20"/>
      </w:pPr>
      <w:r>
        <w:t>ML gatekeeping improves trade quality without replacing deterministic controls.</w:t>
      </w:r>
    </w:p>
    <w:p>
      <w:pPr>
        <w:pStyle w:val="Heading2"/>
      </w:pPr>
      <w:r>
        <w:t>28.3 Experimental decisions</w:t>
      </w:r>
    </w:p>
    <w:p>
      <w:pPr>
        <w:pStyle w:val="ListBullet"/>
        <w:spacing w:after="20"/>
      </w:pPr>
      <w:r>
        <w:t>Exact CFTC gold contract mapping</w:t>
      </w:r>
    </w:p>
    <w:p>
      <w:pPr>
        <w:pStyle w:val="ListBullet"/>
        <w:spacing w:after="20"/>
      </w:pPr>
      <w:r>
        <w:t>Report family selection</w:t>
      </w:r>
    </w:p>
    <w:p>
      <w:pPr>
        <w:pStyle w:val="ListBullet"/>
        <w:spacing w:after="20"/>
      </w:pPr>
      <w:r>
        <w:t>Trader-category aggregation</w:t>
      </w:r>
    </w:p>
    <w:p>
      <w:pPr>
        <w:pStyle w:val="ListBullet"/>
        <w:spacing w:after="20"/>
      </w:pPr>
      <w:r>
        <w:t>CFTC lookback horizon</w:t>
      </w:r>
    </w:p>
    <w:p>
      <w:pPr>
        <w:pStyle w:val="ListBullet"/>
        <w:spacing w:after="20"/>
      </w:pPr>
      <w:r>
        <w:t>CFTC role: filter vs score vs regime modifier</w:t>
      </w:r>
    </w:p>
    <w:p>
      <w:pPr>
        <w:pStyle w:val="ListBullet"/>
        <w:spacing w:after="20"/>
      </w:pPr>
      <w:r>
        <w:t>Positioning-extreme thresholds</w:t>
      </w:r>
    </w:p>
    <w:p>
      <w:pPr>
        <w:pStyle w:val="ListBullet"/>
        <w:spacing w:after="20"/>
      </w:pPr>
      <w:r>
        <w:t>Final bridge transport</w:t>
      </w:r>
    </w:p>
    <w:p>
      <w:pPr>
        <w:pStyle w:val="ListBullet"/>
        <w:spacing w:after="20"/>
      </w:pPr>
      <w:r>
        <w:t>Final risk settings</w:t>
      </w:r>
    </w:p>
    <w:p>
      <w:pPr>
        <w:pStyle w:val="Heading1"/>
      </w:pPr>
      <w:r>
        <w:t>29. Definition of Done</w:t>
      </w:r>
    </w:p>
    <w:p>
      <w:pPr>
        <w:pStyle w:val="ListBullet"/>
        <w:spacing w:after="20"/>
      </w:pPr>
      <w:r>
        <w:t>Canonical market-to-execution pipeline works end-to-end.</w:t>
      </w:r>
    </w:p>
    <w:p>
      <w:pPr>
        <w:pStyle w:val="ListBullet"/>
        <w:spacing w:after="20"/>
      </w:pPr>
      <w:r>
        <w:t>MT5 is sole execution authority.</w:t>
      </w:r>
    </w:p>
    <w:p>
      <w:pPr>
        <w:pStyle w:val="ListBullet"/>
        <w:spacing w:after="20"/>
      </w:pPr>
      <w:r>
        <w:t>Python/MQL5 contracts are versioned.</w:t>
      </w:r>
    </w:p>
    <w:p>
      <w:pPr>
        <w:pStyle w:val="ListBullet"/>
        <w:spacing w:after="20"/>
      </w:pPr>
      <w:r>
        <w:t>Retail flow is proxy-labelled.</w:t>
      </w:r>
    </w:p>
    <w:p>
      <w:pPr>
        <w:pStyle w:val="ListBullet"/>
        <w:spacing w:after="20"/>
      </w:pPr>
      <w:r>
        <w:t>Structure/FVG/OB lifecycles are causal.</w:t>
      </w:r>
    </w:p>
    <w:p>
      <w:pPr>
        <w:pStyle w:val="ListBullet"/>
        <w:spacing w:after="20"/>
      </w:pPr>
      <w:r>
        <w:t>No future information contaminates tests.</w:t>
      </w:r>
    </w:p>
    <w:p>
      <w:pPr>
        <w:pStyle w:val="ListBullet"/>
        <w:spacing w:after="20"/>
      </w:pPr>
      <w:r>
        <w:t>Risk uses actual broker/account state.</w:t>
      </w:r>
    </w:p>
    <w:p>
      <w:pPr>
        <w:pStyle w:val="ListBullet"/>
        <w:spacing w:after="20"/>
      </w:pPr>
      <w:r>
        <w:t>USD 200 feasibility is explicitly tested.</w:t>
      </w:r>
    </w:p>
    <w:p>
      <w:pPr>
        <w:pStyle w:val="ListBullet"/>
        <w:spacing w:after="20"/>
      </w:pPr>
      <w:r>
        <w:t>News/session gates are deterministic.</w:t>
      </w:r>
    </w:p>
    <w:p>
      <w:pPr>
        <w:pStyle w:val="ListBullet"/>
        <w:spacing w:after="20"/>
      </w:pPr>
      <w:r>
        <w:t>CFTC is ingested from an authoritative, reproducible source.</w:t>
      </w:r>
    </w:p>
    <w:p>
      <w:pPr>
        <w:pStyle w:val="ListBullet"/>
        <w:spacing w:after="20"/>
      </w:pPr>
      <w:r>
        <w:t>CFTC report date and publication time are separate.</w:t>
      </w:r>
    </w:p>
    <w:p>
      <w:pPr>
        <w:pStyle w:val="ListBullet"/>
        <w:spacing w:after="20"/>
      </w:pPr>
      <w:r>
        <w:t>CFTC cannot affect decisions before publication.</w:t>
      </w:r>
    </w:p>
    <w:p>
      <w:pPr>
        <w:pStyle w:val="ListBullet"/>
        <w:spacing w:after="20"/>
      </w:pPr>
      <w:r>
        <w:t>CFTC-to-XAUUSD mapping is explicit and versioned.</w:t>
      </w:r>
    </w:p>
    <w:p>
      <w:pPr>
        <w:pStyle w:val="ListBullet"/>
        <w:spacing w:after="20"/>
      </w:pPr>
      <w:r>
        <w:t>CFTC is treated as positioning context, not intraday order flow.</w:t>
      </w:r>
    </w:p>
    <w:p>
      <w:pPr>
        <w:pStyle w:val="ListBullet"/>
        <w:spacing w:after="20"/>
      </w:pPr>
      <w:r>
        <w:t>External-data failures fail safely.</w:t>
      </w:r>
    </w:p>
    <w:p>
      <w:pPr>
        <w:pStyle w:val="ListBullet"/>
        <w:spacing w:after="20"/>
      </w:pPr>
      <w:r>
        <w:t>Duplicate/stale intents cannot create unintended positions.</w:t>
      </w:r>
    </w:p>
    <w:p>
      <w:pPr>
        <w:pStyle w:val="ListBullet"/>
        <w:spacing w:after="20"/>
      </w:pPr>
      <w:r>
        <w:t>Transaction costs are included.</w:t>
      </w:r>
    </w:p>
    <w:p>
      <w:pPr>
        <w:pStyle w:val="ListBullet"/>
        <w:spacing w:after="20"/>
      </w:pPr>
      <w:r>
        <w:t>Every decision and execution is auditable.</w:t>
      </w:r>
    </w:p>
    <w:p>
      <w:pPr>
        <w:pStyle w:val="Heading1"/>
      </w:pPr>
      <w:r>
        <w:t>30. Engineering Summary</w:t>
      </w:r>
    </w:p>
    <w:p>
      <w:pPr>
        <w:spacing w:after="80"/>
      </w:pPr>
      <w:r>
        <w:rPr>
          <w:b w:val="0"/>
        </w:rPr>
        <w:t>The completed AlgoMind architecture is a layered decision system: fast MT5 price/structure/liquidity/retail-flow state, medium-horizon value and regime intelligence, event-based news context, and slow external positioning context from CFTC. These layers feed a deterministic strategy engine and are ultimately constrained by MQL5 risk and execution controls.</w:t>
      </w:r>
    </w:p>
    <w:p>
      <w:pPr>
        <w:spacing w:after="80"/>
      </w:pPr>
      <w:r>
        <w:rPr>
          <w:b w:val="0"/>
        </w:rPr>
        <w:t>The CFTC layer strengthens contextual positioning analysis but does not replace fast market information. Its most important engineering requirement is point-in-time correctness: the strategy must use the CFTC observation only after its actual public availability.</w:t>
      </w:r>
    </w:p>
    <w:p>
      <w:r>
        <w:br w:type="page"/>
      </w:r>
    </w:p>
    <w:p>
      <w:pPr>
        <w:pStyle w:val="Heading1"/>
      </w:pPr>
      <w:r>
        <w:t>Official CFTC Reference Basis</w:t>
      </w:r>
    </w:p>
    <w:p>
      <w:pPr>
        <w:spacing w:after="80"/>
      </w:pPr>
      <w:r>
        <w:rPr>
          <w:b w:val="0"/>
        </w:rPr>
        <w:t>The CFTC materials establishing the report families, historical datasets and publication timing form the reference basis for the CFTC integration. citeturn0search2turn0search3turn0search4turn0search7</w:t>
      </w:r>
    </w:p>
    <w:p>
      <w:pPr>
        <w:pStyle w:val="ListBullet"/>
        <w:spacing w:after="20"/>
      </w:pPr>
      <w:r>
        <w:t>CFTC Public Reporting Environment</w:t>
      </w:r>
    </w:p>
    <w:p>
      <w:pPr>
        <w:pStyle w:val="ListBullet"/>
        <w:spacing w:after="20"/>
      </w:pPr>
      <w:r>
        <w:t>CFTC About the COT Reports</w:t>
      </w:r>
    </w:p>
    <w:p>
      <w:pPr>
        <w:pStyle w:val="ListBullet"/>
        <w:spacing w:after="20"/>
      </w:pPr>
      <w:r>
        <w:t>CFTC Historical Viewable COT Data</w:t>
      </w:r>
    </w:p>
    <w:p>
      <w:pPr>
        <w:pStyle w:val="ListBullet"/>
        <w:spacing w:after="20"/>
      </w:pPr>
      <w:r>
        <w:t>CFTC Historical Compressed COT Data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