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ALGOMIND / ASAP RETAIL ORDER-FLOW PROJECT</w:t>
      </w:r>
    </w:p>
    <w:p>
      <w:pPr>
        <w:jc w:val="center"/>
      </w:pPr>
      <w:r>
        <w:rPr>
          <w:b/>
          <w:sz w:val="32"/>
        </w:rPr>
        <w:t>FINAL MATHEMATICAL SPECIFICATION v2.0</w:t>
      </w:r>
    </w:p>
    <w:p>
      <w:pPr>
        <w:jc w:val="center"/>
      </w:pPr>
      <w:r>
        <w:rPr>
          <w:i/>
        </w:rPr>
        <w:t>Deterministic baseline — formulas, thresholds, state transitions, scoring, risk and validation</w:t>
      </w:r>
    </w:p>
    <w:p>
      <w:r>
        <w:rPr>
          <w:b w:val="0"/>
          <w:i w:val="0"/>
        </w:rPr>
        <w:t>Purpose: convert the conceptual AlgoMind architecture into a deterministic mathematical contract that an engineer can implement without inventing missing mathematics.</w:t>
      </w:r>
    </w:p>
    <w:p>
      <w:r>
        <w:rPr>
          <w:b w:val="0"/>
          <w:i w:val="0"/>
        </w:rPr>
        <w:t>Important status: this document makes explicit engineering choices where the source documents left mathematics open. Those choices are therefore the proposed FINAL BASELINE for approval and backtesting, not historical claims that the original documents had already fixed every parameter.</w:t>
      </w:r>
    </w:p>
    <w:p>
      <w:r>
        <w:rPr>
          <w:b w:val="0"/>
          <w:i w:val="0"/>
        </w:rPr>
        <w:t>The foundation requires mathematical definitions for first-generation features, timestamped information availability, deterministic replay and look-ahead protection. It also requires proxy delta to remain honestly labelled as proxy data, Python to propose/research and MQL5 to validate/execute, and risk controls to remain independent of model confidence.</w:t>
      </w:r>
    </w:p>
    <w:p>
      <w:pPr>
        <w:pStyle w:val="Heading1"/>
      </w:pPr>
      <w:r>
        <w:t>1. Final baseline philosophy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DEBF7"/>
          </w:tcPr>
          <w:p>
            <w:r>
              <w:t>Rule</w:t>
            </w:r>
          </w:p>
        </w:tc>
        <w:tc>
          <w:tcPr>
            <w:tcW w:type="dxa" w:w="5141"/>
            <w:shd w:fill="DDEBF7"/>
          </w:tcPr>
          <w:p>
            <w:r>
              <w:t>Final treatment</w:t>
            </w:r>
          </w:p>
        </w:tc>
      </w:tr>
      <w:tr>
        <w:tc>
          <w:tcPr>
            <w:tcW w:type="dxa" w:w="5141"/>
            <w:vAlign w:val="top"/>
          </w:tcPr>
          <w:p>
            <w:r>
              <w:t>Data</w:t>
            </w:r>
          </w:p>
        </w:tc>
        <w:tc>
          <w:tcPr>
            <w:tcW w:type="dxa" w:w="5141"/>
            <w:vAlign w:val="top"/>
          </w:tcPr>
          <w:p>
            <w:r>
              <w:t>MT5 OHLC/tick/bid/ask/spread first; external data is timestamped and quality-labelled.</w:t>
            </w:r>
          </w:p>
        </w:tc>
      </w:tr>
      <w:tr>
        <w:tc>
          <w:tcPr>
            <w:tcW w:type="dxa" w:w="5141"/>
            <w:vAlign w:val="top"/>
          </w:tcPr>
          <w:p>
            <w:r>
              <w:t>Order flow</w:t>
            </w:r>
          </w:p>
        </w:tc>
        <w:tc>
          <w:tcPr>
            <w:tcW w:type="dxa" w:w="5141"/>
            <w:vAlign w:val="top"/>
          </w:tcPr>
          <w:p>
            <w:r>
              <w:t>Retail-observable Proxy A/B only; never call it true exchange delta.</w:t>
            </w:r>
          </w:p>
        </w:tc>
      </w:tr>
      <w:tr>
        <w:tc>
          <w:tcPr>
            <w:tcW w:type="dxa" w:w="5141"/>
            <w:vAlign w:val="top"/>
          </w:tcPr>
          <w:p>
            <w:r>
              <w:t>Core timeframe</w:t>
            </w:r>
          </w:p>
        </w:tc>
        <w:tc>
          <w:tcPr>
            <w:tcW w:type="dxa" w:w="5141"/>
            <w:vAlign w:val="top"/>
          </w:tcPr>
          <w:p>
            <w:r>
              <w:t>M5 execution/feature clock; M15/H1 context; lower-timeframe ticks may aggregate into M5.</w:t>
            </w:r>
          </w:p>
        </w:tc>
      </w:tr>
      <w:tr>
        <w:tc>
          <w:tcPr>
            <w:tcW w:type="dxa" w:w="5141"/>
            <w:vAlign w:val="top"/>
          </w:tcPr>
          <w:p>
            <w:r>
              <w:t>ATR</w:t>
            </w:r>
          </w:p>
        </w:tc>
        <w:tc>
          <w:tcPr>
            <w:tcW w:type="dxa" w:w="5141"/>
            <w:vAlign w:val="top"/>
          </w:tcPr>
          <w:p>
            <w:r>
              <w:t>14 completed M5 bars unless a feature explicitly specifies another period.</w:t>
            </w:r>
          </w:p>
        </w:tc>
      </w:tr>
      <w:tr>
        <w:tc>
          <w:tcPr>
            <w:tcW w:type="dxa" w:w="5141"/>
            <w:vAlign w:val="top"/>
          </w:tcPr>
          <w:p>
            <w:r>
              <w:t>Lookback</w:t>
            </w:r>
          </w:p>
        </w:tc>
        <w:tc>
          <w:tcPr>
            <w:tcW w:type="dxa" w:w="5141"/>
            <w:vAlign w:val="top"/>
          </w:tcPr>
          <w:p>
            <w:r>
              <w:t>Feature-specific and fixed; no optimization during live inference.</w:t>
            </w:r>
          </w:p>
        </w:tc>
      </w:tr>
      <w:tr>
        <w:tc>
          <w:tcPr>
            <w:tcW w:type="dxa" w:w="5141"/>
            <w:vAlign w:val="top"/>
          </w:tcPr>
          <w:p>
            <w:r>
              <w:t>Normalization</w:t>
            </w:r>
          </w:p>
        </w:tc>
        <w:tc>
          <w:tcPr>
            <w:tcW w:type="dxa" w:w="5141"/>
            <w:vAlign w:val="top"/>
          </w:tcPr>
          <w:p>
            <w:r>
              <w:t>ATR-normalized price distances; rolling z-scores for pressure where specified.</w:t>
            </w:r>
          </w:p>
        </w:tc>
      </w:tr>
      <w:tr>
        <w:tc>
          <w:tcPr>
            <w:tcW w:type="dxa" w:w="5141"/>
            <w:vAlign w:val="top"/>
          </w:tcPr>
          <w:p>
            <w:r>
              <w:t>Events</w:t>
            </w:r>
          </w:p>
        </w:tc>
        <w:tc>
          <w:tcPr>
            <w:tcW w:type="dxa" w:w="5141"/>
            <w:vAlign w:val="top"/>
          </w:tcPr>
          <w:p>
            <w:r>
              <w:t>Confirmed at their availability timestamp; never backfilled into earlier states.</w:t>
            </w:r>
          </w:p>
        </w:tc>
      </w:tr>
      <w:tr>
        <w:tc>
          <w:tcPr>
            <w:tcW w:type="dxa" w:w="5141"/>
            <w:vAlign w:val="top"/>
          </w:tcPr>
          <w:p>
            <w:r>
              <w:t>Scoring</w:t>
            </w:r>
          </w:p>
        </w:tc>
        <w:tc>
          <w:tcPr>
            <w:tcW w:type="dxa" w:w="5141"/>
            <w:vAlign w:val="top"/>
          </w:tcPr>
          <w:p>
            <w:r>
              <w:t>Deterministic weighted evidence; scores are not probabilities.</w:t>
            </w:r>
          </w:p>
        </w:tc>
      </w:tr>
      <w:tr>
        <w:tc>
          <w:tcPr>
            <w:tcW w:type="dxa" w:w="5141"/>
            <w:vAlign w:val="top"/>
          </w:tcPr>
          <w:p>
            <w:r>
              <w:t>Regime</w:t>
            </w:r>
          </w:p>
        </w:tc>
        <w:tc>
          <w:tcPr>
            <w:tcW w:type="dxa" w:w="5141"/>
            <w:vAlign w:val="top"/>
          </w:tcPr>
          <w:p>
            <w:r>
              <w:t>State machine with persistence and hysteresis.</w:t>
            </w:r>
          </w:p>
        </w:tc>
      </w:tr>
      <w:tr>
        <w:tc>
          <w:tcPr>
            <w:tcW w:type="dxa" w:w="5141"/>
            <w:vAlign w:val="top"/>
          </w:tcPr>
          <w:p>
            <w:r>
              <w:t>Risk</w:t>
            </w:r>
          </w:p>
        </w:tc>
        <w:tc>
          <w:tcPr>
            <w:tcW w:type="dxa" w:w="5141"/>
            <w:vAlign w:val="top"/>
          </w:tcPr>
          <w:p>
            <w:r>
              <w:t>0.5% starting research risk/trade; 2% daily hard loss; 5% total drawdown hard limit.</w:t>
            </w:r>
          </w:p>
        </w:tc>
      </w:tr>
      <w:tr>
        <w:tc>
          <w:tcPr>
            <w:tcW w:type="dxa" w:w="5141"/>
            <w:vAlign w:val="top"/>
          </w:tcPr>
          <w:p>
            <w:r>
              <w:t>Execution</w:t>
            </w:r>
          </w:p>
        </w:tc>
        <w:tc>
          <w:tcPr>
            <w:tcW w:type="dxa" w:w="5141"/>
            <w:vAlign w:val="top"/>
          </w:tcPr>
          <w:p>
            <w:r>
              <w:t>MQL5 is final authority for broker validity, sizing, hard-risk veto and execution.</w:t>
            </w:r>
          </w:p>
        </w:tc>
      </w:tr>
      <w:tr>
        <w:tc>
          <w:tcPr>
            <w:tcW w:type="dxa" w:w="5141"/>
            <w:vAlign w:val="top"/>
          </w:tcPr>
          <w:p>
            <w:r>
              <w:t>ML</w:t>
            </w:r>
          </w:p>
        </w:tc>
        <w:tc>
          <w:tcPr>
            <w:tcW w:type="dxa" w:w="5141"/>
            <w:vAlign w:val="top"/>
          </w:tcPr>
          <w:p>
            <w:r>
              <w:t>Not part of the deterministic baseline; later gate/ranker only after baseline proves reproducible.</w:t>
            </w:r>
          </w:p>
        </w:tc>
      </w:tr>
    </w:tbl>
    <w:p/>
    <w:p>
      <w:pPr>
        <w:pStyle w:val="Heading1"/>
      </w:pPr>
      <w:r>
        <w:t>2. Data clock and information availability</w:t>
      </w:r>
    </w:p>
    <w:p>
      <w:r>
        <w:rPr>
          <w:b w:val="0"/>
          <w:i w:val="0"/>
        </w:rPr>
        <w:t>Every feature receives an availability timestamp. At decision time t, the engine may only use observations whose source timestamp is ≤t.</w:t>
      </w:r>
    </w:p>
    <w:p>
      <w:pPr>
        <w:jc w:val="center"/>
      </w:pPr>
      <w:r>
        <w:rPr>
          <w:rFonts w:ascii="Cambria Math" w:hAnsi="Cambria Math"/>
          <w:sz w:val="19"/>
        </w:rPr>
        <w:t>I_t = {x : availability_timestamp(x) ≤ t}</w:t>
      </w:r>
    </w:p>
    <w:p>
      <w:pPr>
        <w:jc w:val="center"/>
      </w:pPr>
      <w:r>
        <w:rPr>
          <w:rFonts w:ascii="Cambria Math" w:hAnsi="Cambria Math"/>
          <w:sz w:val="19"/>
        </w:rPr>
        <w:t>Feature_t = F(I_t)</w:t>
      </w:r>
    </w:p>
    <w:p>
      <w:r>
        <w:rPr>
          <w:b w:val="0"/>
          <w:i w:val="0"/>
        </w:rPr>
        <w:t>For a completed bar, availability time is the bar close timestamp plus the broker/feed availability convention. For an in-progress bar, only ticks actually observed so far are permitted. A future close/high/low may not be used.</w:t>
      </w:r>
    </w:p>
    <w:p>
      <w:r>
        <w:rPr>
          <w:b w:val="0"/>
          <w:i w:val="0"/>
        </w:rPr>
        <w:t>Confirmed swing, FVG, sweep-reaction and news-reaction states are timestamped at the first time the confirmation condition becomes observable, not at the visual center of the event.</w:t>
      </w:r>
    </w:p>
    <w:p>
      <w:pPr>
        <w:pStyle w:val="Heading1"/>
      </w:pPr>
      <w:r>
        <w:t>3. Price, return and volatility calculations</w:t>
      </w:r>
    </w:p>
    <w:p>
      <w:pPr>
        <w:pStyle w:val="Heading2"/>
      </w:pPr>
      <w:r>
        <w:t>3.1 Basic price fields</w:t>
      </w:r>
    </w:p>
    <w:p>
      <w:pPr>
        <w:jc w:val="center"/>
      </w:pPr>
      <w:r>
        <w:rPr>
          <w:rFonts w:ascii="Cambria Math" w:hAnsi="Cambria Math"/>
          <w:sz w:val="19"/>
        </w:rPr>
        <w:t>Range_t = H_t − L_t</w:t>
      </w:r>
    </w:p>
    <w:p>
      <w:pPr>
        <w:jc w:val="center"/>
      </w:pPr>
      <w:r>
        <w:rPr>
          <w:rFonts w:ascii="Cambria Math" w:hAnsi="Cambria Math"/>
          <w:sz w:val="19"/>
        </w:rPr>
        <w:t>Body_t = |C_t − O_t|</w:t>
      </w:r>
    </w:p>
    <w:p>
      <w:pPr>
        <w:jc w:val="center"/>
      </w:pPr>
      <w:r>
        <w:rPr>
          <w:rFonts w:ascii="Cambria Math" w:hAnsi="Cambria Math"/>
          <w:sz w:val="19"/>
        </w:rPr>
        <w:t>UpperWick_t = H_t − max(O_t,C_t)</w:t>
      </w:r>
    </w:p>
    <w:p>
      <w:pPr>
        <w:jc w:val="center"/>
      </w:pPr>
      <w:r>
        <w:rPr>
          <w:rFonts w:ascii="Cambria Math" w:hAnsi="Cambria Math"/>
          <w:sz w:val="19"/>
        </w:rPr>
        <w:t>LowerWick_t = min(O_t,C_t) − L_t</w:t>
      </w:r>
    </w:p>
    <w:p>
      <w:pPr>
        <w:jc w:val="center"/>
      </w:pPr>
      <w:r>
        <w:rPr>
          <w:rFonts w:ascii="Cambria Math" w:hAnsi="Cambria Math"/>
          <w:sz w:val="19"/>
        </w:rPr>
        <w:t>Gap_t = O_t − C_{t−1}</w:t>
      </w:r>
    </w:p>
    <w:p>
      <w:pPr>
        <w:jc w:val="center"/>
      </w:pPr>
      <w:r>
        <w:rPr>
          <w:rFonts w:ascii="Cambria Math" w:hAnsi="Cambria Math"/>
          <w:sz w:val="19"/>
        </w:rPr>
        <w:t>Return_t = C_t/C_{t−1} − 1</w:t>
      </w:r>
    </w:p>
    <w:p>
      <w:pPr>
        <w:pStyle w:val="Heading2"/>
      </w:pPr>
      <w:r>
        <w:t>3.2 True range and ATR</w:t>
      </w:r>
    </w:p>
    <w:p>
      <w:pPr>
        <w:jc w:val="center"/>
      </w:pPr>
      <w:r>
        <w:rPr>
          <w:rFonts w:ascii="Cambria Math" w:hAnsi="Cambria Math"/>
          <w:sz w:val="19"/>
        </w:rPr>
        <w:t>TR_t = max(H_t−L_t, |H_t−C_{t−1}|, |L_t−C_{t−1}|)</w:t>
      </w:r>
    </w:p>
    <w:p>
      <w:pPr>
        <w:jc w:val="center"/>
      </w:pPr>
      <w:r>
        <w:rPr>
          <w:rFonts w:ascii="Cambria Math" w:hAnsi="Cambria Math"/>
          <w:sz w:val="19"/>
        </w:rPr>
        <w:t>ATR14_t = (1/14) Σ_{i=0}^{13} TR_{t−i}</w:t>
      </w:r>
    </w:p>
    <w:p>
      <w:r>
        <w:rPr>
          <w:b w:val="0"/>
          <w:i w:val="0"/>
        </w:rPr>
        <w:t>Only completed bars enter ATR14. ATR is unavailable until 14 valid completed TR observations exist.</w:t>
      </w:r>
    </w:p>
    <w:p>
      <w:pPr>
        <w:pStyle w:val="Heading2"/>
      </w:pPr>
      <w:r>
        <w:t>3.3 Robust volatility</w:t>
      </w:r>
    </w:p>
    <w:p>
      <w:pPr>
        <w:jc w:val="center"/>
      </w:pPr>
      <w:r>
        <w:rPr>
          <w:rFonts w:ascii="Cambria Math" w:hAnsi="Cambria Math"/>
          <w:sz w:val="19"/>
        </w:rPr>
        <w:t>σ20_t = sqrt(Σ_{i=0}^{19}(r_{t−i}−r̄_t)^2 / 19)</w:t>
      </w:r>
    </w:p>
    <w:p>
      <w:pPr>
        <w:jc w:val="center"/>
      </w:pPr>
      <w:r>
        <w:rPr>
          <w:rFonts w:ascii="Cambria Math" w:hAnsi="Cambria Math"/>
          <w:sz w:val="19"/>
        </w:rPr>
        <w:t>RangeRatio_t = Range_t / median(Range_{t−20:t−1})</w:t>
      </w:r>
    </w:p>
    <w:p>
      <w:pPr>
        <w:jc w:val="center"/>
      </w:pPr>
      <w:r>
        <w:rPr>
          <w:rFonts w:ascii="Cambria Math" w:hAnsi="Cambria Math"/>
          <w:sz w:val="19"/>
        </w:rPr>
        <w:t>VolPercentile_t = percentile_rank(ATR14_t, ATR14_{t−N:t−1}), N=252</w:t>
      </w:r>
    </w:p>
    <w:p>
      <w:r>
        <w:rPr>
          <w:b w:val="0"/>
          <w:i w:val="0"/>
        </w:rPr>
        <w:t>Percentile is computed from the prior 252 completed observations; current ATR is ranked against history without including itself. If fewer than 100 valid observations exist, volatility percentile is LIMITED/MISSING according to the data-quality contract.</w:t>
      </w:r>
    </w:p>
    <w:p>
      <w:pPr>
        <w:pStyle w:val="Heading1"/>
      </w:pPr>
      <w:r>
        <w:t>4. Sessions and opening range</w:t>
      </w:r>
    </w:p>
    <w:p>
      <w:r>
        <w:rPr>
          <w:b w:val="0"/>
          <w:i w:val="0"/>
        </w:rPr>
        <w:t>Sessions are configuration-driven. The formula never infers session boundaries from future price behavior.</w:t>
      </w:r>
    </w:p>
    <w:p>
      <w:pPr>
        <w:jc w:val="center"/>
      </w:pPr>
      <w:r>
        <w:rPr>
          <w:rFonts w:ascii="Cambria Math" w:hAnsi="Cambria Math"/>
          <w:sz w:val="19"/>
        </w:rPr>
        <w:t>SessionProgress_t = (t − SessionStart)/(SessionEnd − SessionStart)</w:t>
      </w:r>
    </w:p>
    <w:p>
      <w:pPr>
        <w:jc w:val="center"/>
      </w:pPr>
      <w:r>
        <w:rPr>
          <w:rFonts w:ascii="Cambria Math" w:hAnsi="Cambria Math"/>
          <w:sz w:val="19"/>
        </w:rPr>
        <w:t>SessionLocation_t = (C_t − SessionLow_t)/(SessionHigh_t − SessionLow_t)</w:t>
      </w:r>
    </w:p>
    <w:p>
      <w:pPr>
        <w:jc w:val="center"/>
      </w:pPr>
      <w:r>
        <w:rPr>
          <w:rFonts w:ascii="Cambria Math" w:hAnsi="Cambria Math"/>
          <w:sz w:val="19"/>
        </w:rPr>
        <w:t>ORHigh = max(H_i) over opening-range interval</w:t>
      </w:r>
    </w:p>
    <w:p>
      <w:pPr>
        <w:jc w:val="center"/>
      </w:pPr>
      <w:r>
        <w:rPr>
          <w:rFonts w:ascii="Cambria Math" w:hAnsi="Cambria Math"/>
          <w:sz w:val="19"/>
        </w:rPr>
        <w:t>ORLow = min(L_i) over opening-range interval</w:t>
      </w:r>
    </w:p>
    <w:p>
      <w:pPr>
        <w:jc w:val="center"/>
      </w:pPr>
      <w:r>
        <w:rPr>
          <w:rFonts w:ascii="Cambria Math" w:hAnsi="Cambria Math"/>
          <w:sz w:val="19"/>
        </w:rPr>
        <w:t>ORWidth = ORHigh − ORLow</w:t>
      </w:r>
    </w:p>
    <w:p>
      <w:pPr>
        <w:jc w:val="center"/>
      </w:pPr>
      <w:r>
        <w:rPr>
          <w:rFonts w:ascii="Cambria Math" w:hAnsi="Cambria Math"/>
          <w:sz w:val="19"/>
        </w:rPr>
        <w:t>ORLocation_t = (C_t − ORLow)/ORWidth</w:t>
      </w:r>
    </w:p>
    <w:p>
      <w:r>
        <w:rPr>
          <w:b w:val="0"/>
          <w:i w:val="0"/>
        </w:rPr>
        <w:t>Final baseline: use the configured session calendar and an opening range of the first 30 minutes of the selected session. The exact timezone/calendar remains configuration data, not hard-coded strategy mathematics.</w:t>
      </w:r>
    </w:p>
    <w:p>
      <w:pPr>
        <w:pStyle w:val="Heading1"/>
      </w:pPr>
      <w:r>
        <w:t>5. VWAP and value profile</w:t>
      </w:r>
    </w:p>
    <w:p>
      <w:pPr>
        <w:pStyle w:val="Heading2"/>
      </w:pPr>
      <w:r>
        <w:t>5.1 Session VWAP</w:t>
      </w:r>
    </w:p>
    <w:p>
      <w:pPr>
        <w:jc w:val="center"/>
      </w:pPr>
      <w:r>
        <w:rPr>
          <w:rFonts w:ascii="Cambria Math" w:hAnsi="Cambria Math"/>
          <w:sz w:val="19"/>
        </w:rPr>
        <w:t>TP_t = (H_t + L_t + C_t)/3</w:t>
      </w:r>
    </w:p>
    <w:p>
      <w:pPr>
        <w:jc w:val="center"/>
      </w:pPr>
      <w:r>
        <w:rPr>
          <w:rFonts w:ascii="Cambria Math" w:hAnsi="Cambria Math"/>
          <w:sz w:val="19"/>
        </w:rPr>
        <w:t>VWAP_t = Σ_{i∈session, i≤t}(TP_i×V_i) / Σ_{i∈session, i≤t}V_i</w:t>
      </w:r>
    </w:p>
    <w:p>
      <w:r>
        <w:rPr>
          <w:b w:val="0"/>
          <w:i w:val="0"/>
        </w:rPr>
        <w:t>Final baseline: V is MT5 tick volume. VWAP resets at session start. Zero cumulative volume makes VWAP unavailable. The source requires VWAP to be calculated only from observations available up to the current timestamp.</w:t>
      </w:r>
    </w:p>
    <w:p>
      <w:pPr>
        <w:pStyle w:val="Heading2"/>
      </w:pPr>
      <w:r>
        <w:t>5.2 Deviations</w:t>
      </w:r>
    </w:p>
    <w:p>
      <w:pPr>
        <w:jc w:val="center"/>
      </w:pPr>
      <w:r>
        <w:rPr>
          <w:rFonts w:ascii="Cambria Math" w:hAnsi="Cambria Math"/>
          <w:sz w:val="19"/>
        </w:rPr>
        <w:t>DevVWAP_t = C_t − VWAP_t</w:t>
      </w:r>
    </w:p>
    <w:p>
      <w:pPr>
        <w:jc w:val="center"/>
      </w:pPr>
      <w:r>
        <w:rPr>
          <w:rFonts w:ascii="Cambria Math" w:hAnsi="Cambria Math"/>
          <w:sz w:val="19"/>
        </w:rPr>
        <w:t>DevVWAP_ATR_t = (C_t − VWAP_t)/ATR14_t</w:t>
      </w:r>
    </w:p>
    <w:p>
      <w:pPr>
        <w:jc w:val="center"/>
      </w:pPr>
      <w:r>
        <w:rPr>
          <w:rFonts w:ascii="Cambria Math" w:hAnsi="Cambria Math"/>
          <w:sz w:val="19"/>
        </w:rPr>
        <w:t>DevVWAP_Z_t = z(DevVWAP_t, 50)</w:t>
      </w:r>
    </w:p>
    <w:p>
      <w:r>
        <w:rPr>
          <w:b w:val="0"/>
          <w:i w:val="0"/>
        </w:rPr>
        <w:t>Use ATR-normalized deviation for cross-regime comparability; use the z-score only as a secondary stretchedness feature.</w:t>
      </w:r>
    </w:p>
    <w:p>
      <w:pPr>
        <w:pStyle w:val="Heading2"/>
      </w:pPr>
      <w:r>
        <w:t>5.3 Volume profile</w:t>
      </w:r>
    </w:p>
    <w:p>
      <w:pPr>
        <w:jc w:val="center"/>
      </w:pPr>
      <w:r>
        <w:rPr>
          <w:rFonts w:ascii="Cambria Math" w:hAnsi="Cambria Math"/>
          <w:sz w:val="19"/>
        </w:rPr>
        <w:t>BinIndex(P) = floor((P−P_min)/ΔP)</w:t>
      </w:r>
    </w:p>
    <w:p>
      <w:pPr>
        <w:jc w:val="center"/>
      </w:pPr>
      <w:r>
        <w:rPr>
          <w:rFonts w:ascii="Cambria Math" w:hAnsi="Cambria Math"/>
          <w:sz w:val="19"/>
        </w:rPr>
        <w:t>ProfileVol_b,t = Σ V_i allocated to bin b, i≤t</w:t>
      </w:r>
    </w:p>
    <w:p>
      <w:r>
        <w:rPr>
          <w:b w:val="0"/>
          <w:i w:val="0"/>
        </w:rPr>
        <w:t>Final baseline: ΔP = 4×MT5 Point for XAUUSD/XAUUSDm, subject to a minimum one-tick bin. Bar volume is allocated to the bin containing TP_i. This is deliberately a retail-data profile, not an exchange footprint.</w:t>
      </w:r>
    </w:p>
    <w:p>
      <w:pPr>
        <w:jc w:val="center"/>
      </w:pPr>
      <w:r>
        <w:rPr>
          <w:rFonts w:ascii="Cambria Math" w:hAnsi="Cambria Math"/>
          <w:sz w:val="19"/>
        </w:rPr>
        <w:t>POC_t = argmax_b(ProfileVol_b,t)</w:t>
      </w:r>
    </w:p>
    <w:p>
      <w:pPr>
        <w:jc w:val="center"/>
      </w:pPr>
      <w:r>
        <w:rPr>
          <w:rFonts w:ascii="Cambria Math" w:hAnsi="Cambria Math"/>
          <w:sz w:val="19"/>
        </w:rPr>
        <w:t>TotalVol_t = Σ_b ProfileVol_b,t</w:t>
      </w:r>
    </w:p>
    <w:p>
      <w:pPr>
        <w:jc w:val="center"/>
      </w:pPr>
      <w:r>
        <w:rPr>
          <w:rFonts w:ascii="Cambria Math" w:hAnsi="Cambria Math"/>
          <w:sz w:val="19"/>
        </w:rPr>
        <w:t>ValueTarget = 0.70×TotalVol_t</w:t>
      </w:r>
    </w:p>
    <w:p>
      <w:r>
        <w:rPr>
          <w:b w:val="0"/>
          <w:i w:val="0"/>
        </w:rPr>
        <w:t>Value-area expansion rule: start at POC; repeatedly add the adjacent bin with larger volume until cumulative included volume ≥70% of total profile volume. Ties are resolved by adding the lower-price bin first for deterministic reproducibility.</w:t>
      </w:r>
    </w:p>
    <w:p>
      <w:pPr>
        <w:jc w:val="center"/>
      </w:pPr>
      <w:r>
        <w:rPr>
          <w:rFonts w:ascii="Cambria Math" w:hAnsi="Cambria Math"/>
          <w:sz w:val="19"/>
        </w:rPr>
        <w:t>VAL_t = lowest included-bin boundary</w:t>
      </w:r>
    </w:p>
    <w:p>
      <w:pPr>
        <w:jc w:val="center"/>
      </w:pPr>
      <w:r>
        <w:rPr>
          <w:rFonts w:ascii="Cambria Math" w:hAnsi="Cambria Math"/>
          <w:sz w:val="19"/>
        </w:rPr>
        <w:t>VAH_t = highest included-bin boundary</w:t>
      </w:r>
    </w:p>
    <w:p>
      <w:pPr>
        <w:pStyle w:val="Heading2"/>
      </w:pPr>
      <w:r>
        <w:t>5.4 Value states</w:t>
      </w:r>
    </w:p>
    <w:p>
      <w:pPr>
        <w:jc w:val="center"/>
      </w:pPr>
      <w:r>
        <w:rPr>
          <w:rFonts w:ascii="Cambria Math" w:hAnsi="Cambria Math"/>
          <w:sz w:val="19"/>
        </w:rPr>
        <w:t>InsideValue = 1[VAL≤C≤VAH]</w:t>
      </w:r>
    </w:p>
    <w:p>
      <w:pPr>
        <w:jc w:val="center"/>
      </w:pPr>
      <w:r>
        <w:rPr>
          <w:rFonts w:ascii="Cambria Math" w:hAnsi="Cambria Math"/>
          <w:sz w:val="19"/>
        </w:rPr>
        <w:t>AboveValue = 1[C&gt;VAH]</w:t>
      </w:r>
    </w:p>
    <w:p>
      <w:pPr>
        <w:jc w:val="center"/>
      </w:pPr>
      <w:r>
        <w:rPr>
          <w:rFonts w:ascii="Cambria Math" w:hAnsi="Cambria Math"/>
          <w:sz w:val="19"/>
        </w:rPr>
        <w:t>BelowValue = 1[C&lt;VAL]</w:t>
      </w:r>
    </w:p>
    <w:p>
      <w:pPr>
        <w:jc w:val="center"/>
      </w:pPr>
      <w:r>
        <w:rPr>
          <w:rFonts w:ascii="Cambria Math" w:hAnsi="Cambria Math"/>
          <w:sz w:val="19"/>
        </w:rPr>
        <w:t>POCDistATR = (C−POC)/ATR14</w:t>
      </w:r>
    </w:p>
    <w:p>
      <w:pPr>
        <w:jc w:val="center"/>
      </w:pPr>
      <w:r>
        <w:rPr>
          <w:rFonts w:ascii="Cambria Math" w:hAnsi="Cambria Math"/>
          <w:sz w:val="19"/>
        </w:rPr>
        <w:t>VAHDistATR = (C−VAH)/ATR14</w:t>
      </w:r>
    </w:p>
    <w:p>
      <w:pPr>
        <w:jc w:val="center"/>
      </w:pPr>
      <w:r>
        <w:rPr>
          <w:rFonts w:ascii="Cambria Math" w:hAnsi="Cambria Math"/>
          <w:sz w:val="19"/>
        </w:rPr>
        <w:t>VALDistATR = (C−VAL)/ATR14</w:t>
      </w:r>
    </w:p>
    <w:p>
      <w:pPr>
        <w:pStyle w:val="Heading1"/>
      </w:pPr>
      <w:r>
        <w:t>6. Confirmed market structure</w:t>
      </w:r>
    </w:p>
    <w:p>
      <w:pPr>
        <w:pStyle w:val="Heading2"/>
      </w:pPr>
      <w:r>
        <w:t>6.1 Swing definition</w:t>
      </w:r>
    </w:p>
    <w:p>
      <w:r>
        <w:rPr>
          <w:b w:val="0"/>
          <w:i w:val="0"/>
        </w:rPr>
        <w:t>Final baseline: k=2. A swing high at t is confirmed only after two bars to its right have closed.</w:t>
      </w:r>
    </w:p>
    <w:p>
      <w:pPr>
        <w:jc w:val="center"/>
      </w:pPr>
      <w:r>
        <w:rPr>
          <w:rFonts w:ascii="Cambria Math" w:hAnsi="Cambria Math"/>
          <w:sz w:val="19"/>
        </w:rPr>
        <w:t>SwingHigh_t = 1[H_t&gt;H_{t−2}, H_t&gt;H_{t−1}, H_t≥H_{t+1}, H_t≥H_{t+2}]</w:t>
      </w:r>
    </w:p>
    <w:p>
      <w:pPr>
        <w:jc w:val="center"/>
      </w:pPr>
      <w:r>
        <w:rPr>
          <w:rFonts w:ascii="Cambria Math" w:hAnsi="Cambria Math"/>
          <w:sz w:val="19"/>
        </w:rPr>
        <w:t>SwingLow_t = 1[L_t&lt;L_{t−2}, L_t&lt;L_{t−1}, L_t≤L_{t+1}, L_t≤L_{t+2}]</w:t>
      </w:r>
    </w:p>
    <w:p>
      <w:r>
        <w:rPr>
          <w:b w:val="0"/>
          <w:i w:val="0"/>
        </w:rPr>
        <w:t>Confirmation timestamp = close of t+2. The swing may not influence a decision before that timestamp.</w:t>
      </w:r>
    </w:p>
    <w:p>
      <w:pPr>
        <w:pStyle w:val="Heading2"/>
      </w:pPr>
      <w:r>
        <w:t>6.2 Equal highs/lows</w:t>
      </w:r>
    </w:p>
    <w:p>
      <w:pPr>
        <w:jc w:val="center"/>
      </w:pPr>
      <w:r>
        <w:rPr>
          <w:rFonts w:ascii="Cambria Math" w:hAnsi="Cambria Math"/>
          <w:sz w:val="19"/>
        </w:rPr>
        <w:t>EqualHigh(a,b) = 1[|H_a−H_b| ≤ max(2×Point, 0.10×ATR14)]</w:t>
      </w:r>
    </w:p>
    <w:p>
      <w:pPr>
        <w:jc w:val="center"/>
      </w:pPr>
      <w:r>
        <w:rPr>
          <w:rFonts w:ascii="Cambria Math" w:hAnsi="Cambria Math"/>
          <w:sz w:val="19"/>
        </w:rPr>
        <w:t>EqualLow(a,b) = 1[|L_a−L_b| ≤ max(2×Point, 0.10×ATR14)]</w:t>
      </w:r>
    </w:p>
    <w:p>
      <w:r>
        <w:rPr>
          <w:b w:val="0"/>
          <w:i w:val="0"/>
        </w:rPr>
        <w:t>The level is the arithmetic mean of the two prices. For clusters of three or more swings, use the median price of the cluster.</w:t>
      </w:r>
    </w:p>
    <w:p>
      <w:pPr>
        <w:pStyle w:val="Heading1"/>
      </w:pPr>
      <w:r>
        <w:t>7. BOS, CHOCH and directional structure</w:t>
      </w:r>
    </w:p>
    <w:p>
      <w:pPr>
        <w:jc w:val="center"/>
      </w:pPr>
      <w:r>
        <w:rPr>
          <w:rFonts w:ascii="Cambria Math" w:hAnsi="Cambria Math"/>
          <w:sz w:val="19"/>
        </w:rPr>
        <w:t>BullBOS_t = 1[C_t &gt; LatestConfirmedSwingHigh + 0.05×ATR14_t]</w:t>
      </w:r>
    </w:p>
    <w:p>
      <w:pPr>
        <w:jc w:val="center"/>
      </w:pPr>
      <w:r>
        <w:rPr>
          <w:rFonts w:ascii="Cambria Math" w:hAnsi="Cambria Math"/>
          <w:sz w:val="19"/>
        </w:rPr>
        <w:t>BearBOS_t = 1[C_t &lt; LatestConfirmedSwingLow − 0.05×ATR14_t]</w:t>
      </w:r>
    </w:p>
    <w:p>
      <w:r>
        <w:rPr>
          <w:b w:val="0"/>
          <w:i w:val="0"/>
        </w:rPr>
        <w:t>Final baseline uses a CLOSED candle close, not a wick, for structure breaks.</w:t>
      </w:r>
    </w:p>
    <w:p>
      <w:pPr>
        <w:jc w:val="center"/>
      </w:pPr>
      <w:r>
        <w:rPr>
          <w:rFonts w:ascii="Cambria Math" w:hAnsi="Cambria Math"/>
          <w:sz w:val="19"/>
        </w:rPr>
        <w:t>StructureDir_t = +1 after BullBOS; −1 after BearBOS; previous state otherwise</w:t>
      </w:r>
    </w:p>
    <w:p>
      <w:pPr>
        <w:jc w:val="center"/>
      </w:pPr>
      <w:r>
        <w:rPr>
          <w:rFonts w:ascii="Cambria Math" w:hAnsi="Cambria Math"/>
          <w:sz w:val="19"/>
        </w:rPr>
        <w:t>BullCHOCH_t = 1[StructureDir_{t−1}=−1 and BullBOS_t=1]</w:t>
      </w:r>
    </w:p>
    <w:p>
      <w:pPr>
        <w:jc w:val="center"/>
      </w:pPr>
      <w:r>
        <w:rPr>
          <w:rFonts w:ascii="Cambria Math" w:hAnsi="Cambria Math"/>
          <w:sz w:val="19"/>
        </w:rPr>
        <w:t>BearCHOCH_t = 1[StructureDir_{t−1}=+1 and BearBOS_t=1]</w:t>
      </w:r>
    </w:p>
    <w:p>
      <w:r>
        <w:rPr>
          <w:b w:val="0"/>
          <w:i w:val="0"/>
        </w:rPr>
        <w:t>CHOCH is the first confirmed break against the established direction. If no established direction exists, record BOS but do not call it CHOCH.</w:t>
      </w:r>
    </w:p>
    <w:p>
      <w:pPr>
        <w:pStyle w:val="Heading1"/>
      </w:pPr>
      <w:r>
        <w:t>8. Liquidity pools and sweeps</w:t>
      </w:r>
    </w:p>
    <w:p>
      <w:pPr>
        <w:pStyle w:val="Heading2"/>
      </w:pPr>
      <w:r>
        <w:t>8.1 Liquidity references</w:t>
      </w:r>
    </w:p>
    <w:p>
      <w:r>
        <w:rPr>
          <w:b w:val="0"/>
          <w:i w:val="0"/>
        </w:rPr>
        <w:t>Nearest objective liquidity = most recent confirmed swing high/low plus confirmed equal-high/equal-low clusters and session high/low.</w:t>
      </w:r>
    </w:p>
    <w:p>
      <w:pPr>
        <w:jc w:val="center"/>
      </w:pPr>
      <w:r>
        <w:rPr>
          <w:rFonts w:ascii="Cambria Math" w:hAnsi="Cambria Math"/>
          <w:sz w:val="19"/>
        </w:rPr>
        <w:t>NearestHigh_t = min{L : L≥C_t, L is active high-liquidity reference}</w:t>
      </w:r>
    </w:p>
    <w:p>
      <w:pPr>
        <w:jc w:val="center"/>
      </w:pPr>
      <w:r>
        <w:rPr>
          <w:rFonts w:ascii="Cambria Math" w:hAnsi="Cambria Math"/>
          <w:sz w:val="19"/>
        </w:rPr>
        <w:t>NearestLow_t = max{L : L≤C_t, L is active low-liquidity reference}</w:t>
      </w:r>
    </w:p>
    <w:p>
      <w:pPr>
        <w:pStyle w:val="Heading2"/>
      </w:pPr>
      <w:r>
        <w:t>8.2 Sweep</w:t>
      </w:r>
    </w:p>
    <w:p>
      <w:pPr>
        <w:jc w:val="center"/>
      </w:pPr>
      <w:r>
        <w:rPr>
          <w:rFonts w:ascii="Cambria Math" w:hAnsi="Cambria Math"/>
          <w:sz w:val="19"/>
        </w:rPr>
        <w:t>HighSweep_t = 1[H_t &gt; L_high + 0.05×ATR14_t]</w:t>
      </w:r>
    </w:p>
    <w:p>
      <w:pPr>
        <w:jc w:val="center"/>
      </w:pPr>
      <w:r>
        <w:rPr>
          <w:rFonts w:ascii="Cambria Math" w:hAnsi="Cambria Math"/>
          <w:sz w:val="19"/>
        </w:rPr>
        <w:t>LowSweep_t = 1[L_t &lt; L_low − 0.05×ATR14_t]</w:t>
      </w:r>
    </w:p>
    <w:p>
      <w:pPr>
        <w:jc w:val="center"/>
      </w:pPr>
      <w:r>
        <w:rPr>
          <w:rFonts w:ascii="Cambria Math" w:hAnsi="Cambria Math"/>
          <w:sz w:val="19"/>
        </w:rPr>
        <w:t>HighSweepReject_t = HighSweep_t × 1[C_t &lt; L_high]</w:t>
      </w:r>
    </w:p>
    <w:p>
      <w:pPr>
        <w:jc w:val="center"/>
      </w:pPr>
      <w:r>
        <w:rPr>
          <w:rFonts w:ascii="Cambria Math" w:hAnsi="Cambria Math"/>
          <w:sz w:val="19"/>
        </w:rPr>
        <w:t>LowSweepReject_t = LowSweep_t × 1[C_t &gt; L_low]</w:t>
      </w:r>
    </w:p>
    <w:p>
      <w:r>
        <w:rPr>
          <w:b w:val="0"/>
          <w:i w:val="0"/>
        </w:rPr>
        <w:t>Final confirmation window: rejection must occur within the same M5 bar or the next completed M5 bar. If price closes beyond the liquidity level and remains accepted beyond it for two consecutive M5 closes, classify as sweep-failure/continuation rather than rejection.</w:t>
      </w:r>
    </w:p>
    <w:p>
      <w:pPr>
        <w:pStyle w:val="Heading1"/>
      </w:pPr>
      <w:r>
        <w:t>9. Displacement and rejection</w:t>
      </w:r>
    </w:p>
    <w:p>
      <w:pPr>
        <w:jc w:val="center"/>
      </w:pPr>
      <w:r>
        <w:rPr>
          <w:rFonts w:ascii="Cambria Math" w:hAnsi="Cambria Math"/>
          <w:sz w:val="19"/>
        </w:rPr>
        <w:t>BodyRatio_t = Body_t/Range_t</w:t>
      </w:r>
    </w:p>
    <w:p>
      <w:pPr>
        <w:jc w:val="center"/>
      </w:pPr>
      <w:r>
        <w:rPr>
          <w:rFonts w:ascii="Cambria Math" w:hAnsi="Cambria Math"/>
          <w:sz w:val="19"/>
        </w:rPr>
        <w:t>DisplacementATR_t = Body_t/ATR14_t</w:t>
      </w:r>
    </w:p>
    <w:p>
      <w:pPr>
        <w:jc w:val="center"/>
      </w:pPr>
      <w:r>
        <w:rPr>
          <w:rFonts w:ascii="Cambria Math" w:hAnsi="Cambria Math"/>
          <w:sz w:val="19"/>
        </w:rPr>
        <w:t>BullDisplacement = 1[C&gt;O and BodyRatio≥0.65 and DisplacementATR≥1.0]</w:t>
      </w:r>
    </w:p>
    <w:p>
      <w:pPr>
        <w:jc w:val="center"/>
      </w:pPr>
      <w:r>
        <w:rPr>
          <w:rFonts w:ascii="Cambria Math" w:hAnsi="Cambria Math"/>
          <w:sz w:val="19"/>
        </w:rPr>
        <w:t>BearDisplacement = 1[C&lt;O and BodyRatio≥0.65 and DisplacementATR≥1.0]</w:t>
      </w:r>
    </w:p>
    <w:p>
      <w:pPr>
        <w:jc w:val="center"/>
      </w:pPr>
      <w:r>
        <w:rPr>
          <w:rFonts w:ascii="Cambria Math" w:hAnsi="Cambria Math"/>
          <w:sz w:val="19"/>
        </w:rPr>
        <w:t>UpperRejectionRatio = UpperWick/Range</w:t>
      </w:r>
    </w:p>
    <w:p>
      <w:pPr>
        <w:jc w:val="center"/>
      </w:pPr>
      <w:r>
        <w:rPr>
          <w:rFonts w:ascii="Cambria Math" w:hAnsi="Cambria Math"/>
          <w:sz w:val="19"/>
        </w:rPr>
        <w:t>LowerRejectionRatio = LowerWick/Range</w:t>
      </w:r>
    </w:p>
    <w:p>
      <w:pPr>
        <w:jc w:val="center"/>
      </w:pPr>
      <w:r>
        <w:rPr>
          <w:rFonts w:ascii="Cambria Math" w:hAnsi="Cambria Math"/>
          <w:sz w:val="19"/>
        </w:rPr>
        <w:t>BearRejection = 1[UpperRejectionRatio≥0.45 and C≤O]</w:t>
      </w:r>
    </w:p>
    <w:p>
      <w:pPr>
        <w:jc w:val="center"/>
      </w:pPr>
      <w:r>
        <w:rPr>
          <w:rFonts w:ascii="Cambria Math" w:hAnsi="Cambria Math"/>
          <w:sz w:val="19"/>
        </w:rPr>
        <w:t>BullRejection = 1[LowerRejectionRatio≥0.45 and C≥O]</w:t>
      </w:r>
    </w:p>
    <w:p>
      <w:r>
        <w:rPr>
          <w:b w:val="0"/>
          <w:i w:val="0"/>
        </w:rPr>
        <w:t>These thresholds are the final baseline for deterministic research. They are not claimed to be universally optimal.</w:t>
      </w:r>
    </w:p>
    <w:p>
      <w:pPr>
        <w:pStyle w:val="Heading1"/>
      </w:pPr>
      <w:r>
        <w:t>10. FVG / imbalance lifecycle</w:t>
      </w:r>
    </w:p>
    <w:p>
      <w:pPr>
        <w:jc w:val="center"/>
      </w:pPr>
      <w:r>
        <w:rPr>
          <w:rFonts w:ascii="Cambria Math" w:hAnsi="Cambria Math"/>
          <w:sz w:val="19"/>
        </w:rPr>
        <w:t>BullFVG_t = 1[L_t &gt; H_{t−2}]</w:t>
      </w:r>
    </w:p>
    <w:p>
      <w:pPr>
        <w:jc w:val="center"/>
      </w:pPr>
      <w:r>
        <w:rPr>
          <w:rFonts w:ascii="Cambria Math" w:hAnsi="Cambria Math"/>
          <w:sz w:val="19"/>
        </w:rPr>
        <w:t>BearFVG_t = 1[H_t &lt; L_{t−2}]</w:t>
      </w:r>
    </w:p>
    <w:p>
      <w:pPr>
        <w:jc w:val="center"/>
      </w:pPr>
      <w:r>
        <w:rPr>
          <w:rFonts w:ascii="Cambria Math" w:hAnsi="Cambria Math"/>
          <w:sz w:val="19"/>
        </w:rPr>
        <w:t>BullZone=[H_{t−2},L_t]</w:t>
      </w:r>
    </w:p>
    <w:p>
      <w:pPr>
        <w:jc w:val="center"/>
      </w:pPr>
      <w:r>
        <w:rPr>
          <w:rFonts w:ascii="Cambria Math" w:hAnsi="Cambria Math"/>
          <w:sz w:val="19"/>
        </w:rPr>
        <w:t>BearZone=[H_t,L_{t−2}]</w:t>
      </w:r>
    </w:p>
    <w:p>
      <w:r>
        <w:rPr>
          <w:b w:val="0"/>
          <w:i w:val="0"/>
        </w:rPr>
        <w:t>Minimum gap filter: zone width must be ≥0.10×ATR14 at creation. Otherwise do not create an FVG event.</w:t>
      </w:r>
    </w:p>
    <w:p>
      <w:pPr>
        <w:jc w:val="center"/>
      </w:pPr>
      <w:r>
        <w:rPr>
          <w:rFonts w:ascii="Cambria Math" w:hAnsi="Cambria Math"/>
          <w:sz w:val="19"/>
        </w:rPr>
        <w:t>BullFill_t = clip((L_creation−L_current)/(L_creation−H_{t−2}),0,1)</w:t>
      </w:r>
    </w:p>
    <w:p>
      <w:pPr>
        <w:jc w:val="center"/>
      </w:pPr>
      <w:r>
        <w:rPr>
          <w:rFonts w:ascii="Cambria Math" w:hAnsi="Cambria Math"/>
          <w:sz w:val="19"/>
        </w:rPr>
        <w:t>BearFill_t = clip((H_current−H_creation)/(L_{t−2}−H_creation),0,1)</w:t>
      </w:r>
    </w:p>
    <w:p>
      <w:r>
        <w:rPr>
          <w:b w:val="0"/>
          <w:i w:val="0"/>
        </w:rPr>
        <w:t>Fill uses the current bar's wick. FVG is MITIGATED at fill≥0.50; INVALIDATED for a bullish FVG if a completed close &lt; lower boundary, and for a bearish FVG if a completed close &gt; upper boundary. Age is measured in completed M5 bars from confirmation/creation availability.</w:t>
      </w:r>
    </w:p>
    <w:p>
      <w:pPr>
        <w:pStyle w:val="Heading1"/>
      </w:pPr>
      <w:r>
        <w:t>11. Retail delta Proxy A</w:t>
      </w:r>
    </w:p>
    <w:p>
      <w:r>
        <w:rPr>
          <w:b w:val="0"/>
          <w:i w:val="0"/>
        </w:rPr>
        <w:t>Proxy A estimates directional tick pressure from price changes. It is not exchange delta.</w:t>
      </w:r>
    </w:p>
    <w:p>
      <w:pPr>
        <w:jc w:val="center"/>
      </w:pPr>
      <w:r>
        <w:rPr>
          <w:rFonts w:ascii="Cambria Math" w:hAnsi="Cambria Math"/>
          <w:sz w:val="19"/>
        </w:rPr>
        <w:t>s_i = +1 if P_i&gt;P_{i−1}; −1 if P_i&lt;P_{i−1}; 0 otherwise</w:t>
      </w:r>
    </w:p>
    <w:p>
      <w:pPr>
        <w:jc w:val="center"/>
      </w:pPr>
      <w:r>
        <w:rPr>
          <w:rFonts w:ascii="Cambria Math" w:hAnsi="Cambria Math"/>
          <w:sz w:val="19"/>
        </w:rPr>
        <w:t>DeltaA_t = Σ_{i∈M5_t}s_i</w:t>
      </w:r>
    </w:p>
    <w:p>
      <w:pPr>
        <w:jc w:val="center"/>
      </w:pPr>
      <w:r>
        <w:rPr>
          <w:rFonts w:ascii="Cambria Math" w:hAnsi="Cambria Math"/>
          <w:sz w:val="19"/>
        </w:rPr>
        <w:t>DeltaAIntensity_t = DeltaA_t / max(1,N_ticks_t)</w:t>
      </w:r>
    </w:p>
    <w:p>
      <w:pPr>
        <w:jc w:val="center"/>
      </w:pPr>
      <w:r>
        <w:rPr>
          <w:rFonts w:ascii="Cambria Math" w:hAnsi="Cambria Math"/>
          <w:sz w:val="19"/>
        </w:rPr>
        <w:t>DeltaA_20Z_t = z(DeltaA_t, previous 20 M5 values)</w:t>
      </w:r>
    </w:p>
    <w:p>
      <w:r>
        <w:rPr>
          <w:b w:val="0"/>
          <w:i w:val="0"/>
        </w:rPr>
        <w:t>If tick data is unavailable, Proxy A is MISSING; do not substitute bar data and label it Proxy A.</w:t>
      </w:r>
    </w:p>
    <w:p>
      <w:pPr>
        <w:pStyle w:val="Heading1"/>
      </w:pPr>
      <w:r>
        <w:t>12. Retail delta Proxy B</w:t>
      </w:r>
    </w:p>
    <w:p>
      <w:pPr>
        <w:jc w:val="center"/>
      </w:pPr>
      <w:r>
        <w:rPr>
          <w:rFonts w:ascii="Cambria Math" w:hAnsi="Cambria Math"/>
          <w:sz w:val="19"/>
        </w:rPr>
        <w:t>CLV_t = (2C_t−H_t−L_t)/(H_t−L_t)</w:t>
      </w:r>
    </w:p>
    <w:p>
      <w:pPr>
        <w:jc w:val="center"/>
      </w:pPr>
      <w:r>
        <w:rPr>
          <w:rFonts w:ascii="Cambria Math" w:hAnsi="Cambria Math"/>
          <w:sz w:val="19"/>
        </w:rPr>
        <w:t>DeltaB_t = CLV_t×TickVolume_t</w:t>
      </w:r>
    </w:p>
    <w:p>
      <w:pPr>
        <w:jc w:val="center"/>
      </w:pPr>
      <w:r>
        <w:rPr>
          <w:rFonts w:ascii="Cambria Math" w:hAnsi="Cambria Math"/>
          <w:sz w:val="19"/>
        </w:rPr>
        <w:t>DeltaBIntensity_t = CLV_t</w:t>
      </w:r>
    </w:p>
    <w:p>
      <w:pPr>
        <w:jc w:val="center"/>
      </w:pPr>
      <w:r>
        <w:rPr>
          <w:rFonts w:ascii="Cambria Math" w:hAnsi="Cambria Math"/>
          <w:sz w:val="19"/>
        </w:rPr>
        <w:t>DeltaB_20Z_t = z(DeltaB_t, previous 20 completed M5 bars)</w:t>
      </w:r>
    </w:p>
    <w:p>
      <w:r>
        <w:rPr>
          <w:b w:val="0"/>
          <w:i w:val="0"/>
        </w:rPr>
        <w:t>If Range=0, CLV=0 and the pressure contribution is neutral rather than infinite.</w:t>
      </w:r>
    </w:p>
    <w:p>
      <w:pPr>
        <w:pStyle w:val="Heading1"/>
      </w:pPr>
      <w:r>
        <w:t>13. Delta fusion, flip, surge and persistence</w:t>
      </w:r>
    </w:p>
    <w:p>
      <w:pPr>
        <w:jc w:val="center"/>
      </w:pPr>
      <w:r>
        <w:rPr>
          <w:rFonts w:ascii="Cambria Math" w:hAnsi="Cambria Math"/>
          <w:sz w:val="19"/>
        </w:rPr>
        <w:t>ZA_t = clip(z(DeltaA_t,20),−3,3)/3</w:t>
      </w:r>
    </w:p>
    <w:p>
      <w:pPr>
        <w:jc w:val="center"/>
      </w:pPr>
      <w:r>
        <w:rPr>
          <w:rFonts w:ascii="Cambria Math" w:hAnsi="Cambria Math"/>
          <w:sz w:val="19"/>
        </w:rPr>
        <w:t>ZB_t = clip(z(DeltaB_t,20),−3,3)/3</w:t>
      </w:r>
    </w:p>
    <w:p>
      <w:pPr>
        <w:jc w:val="center"/>
      </w:pPr>
      <w:r>
        <w:rPr>
          <w:rFonts w:ascii="Cambria Math" w:hAnsi="Cambria Math"/>
          <w:sz w:val="19"/>
        </w:rPr>
        <w:t>Fusion_t = 0.50×ZA_t + 0.50×ZB_t</w:t>
      </w:r>
    </w:p>
    <w:p>
      <w:pPr>
        <w:jc w:val="center"/>
      </w:pPr>
      <w:r>
        <w:rPr>
          <w:rFonts w:ascii="Cambria Math" w:hAnsi="Cambria Math"/>
          <w:sz w:val="19"/>
        </w:rPr>
        <w:t>PressureState_t = +1 if Fusion≥0.25; 0 if |Fusion|&lt;0.25; −1 if Fusion≤−0.25</w:t>
      </w:r>
    </w:p>
    <w:p>
      <w:pPr>
        <w:jc w:val="center"/>
      </w:pPr>
      <w:r>
        <w:rPr>
          <w:rFonts w:ascii="Cambria Math" w:hAnsi="Cambria Math"/>
          <w:sz w:val="19"/>
        </w:rPr>
        <w:t>BullFlip_t = 1[State_{t−1}=−1 and State_t=+1]</w:t>
      </w:r>
    </w:p>
    <w:p>
      <w:pPr>
        <w:jc w:val="center"/>
      </w:pPr>
      <w:r>
        <w:rPr>
          <w:rFonts w:ascii="Cambria Math" w:hAnsi="Cambria Math"/>
          <w:sz w:val="19"/>
        </w:rPr>
        <w:t>BearFlip_t = 1[State_{t−1}=+1 and State_t=−1]</w:t>
      </w:r>
    </w:p>
    <w:p>
      <w:pPr>
        <w:jc w:val="center"/>
      </w:pPr>
      <w:r>
        <w:rPr>
          <w:rFonts w:ascii="Cambria Math" w:hAnsi="Cambria Math"/>
          <w:sz w:val="19"/>
        </w:rPr>
        <w:t>Surge_t = 1[|Fusion_t|≥0.60]</w:t>
      </w:r>
    </w:p>
    <w:p>
      <w:pPr>
        <w:jc w:val="center"/>
      </w:pPr>
      <w:r>
        <w:rPr>
          <w:rFonts w:ascii="Cambria Math" w:hAnsi="Cambria Math"/>
          <w:sz w:val="19"/>
        </w:rPr>
        <w:t>Persistence_t = consecutive M5 bars ending at t with sign(Fusion)=sign(Fusion_t) and |Fusion|≥0.25</w:t>
      </w:r>
    </w:p>
    <w:p>
      <w:r>
        <w:rPr>
          <w:b w:val="0"/>
          <w:i w:val="0"/>
        </w:rPr>
        <w:t>Final baseline thresholds: ±0.25 for directional pressure, 0.60 for surge. Fusion is a bounded pressure score, not a probability.</w:t>
      </w:r>
    </w:p>
    <w:p>
      <w:pPr>
        <w:pStyle w:val="Heading1"/>
      </w:pPr>
      <w:r>
        <w:t>14. Delta divergence</w:t>
      </w:r>
    </w:p>
    <w:p>
      <w:r>
        <w:rPr>
          <w:b w:val="0"/>
          <w:i w:val="0"/>
        </w:rPr>
        <w:t>Divergence is measured between confirmed swing points, preventing future confirmation from leaking backward.</w:t>
      </w:r>
    </w:p>
    <w:p>
      <w:pPr>
        <w:jc w:val="center"/>
      </w:pPr>
      <w:r>
        <w:rPr>
          <w:rFonts w:ascii="Cambria Math" w:hAnsi="Cambria Math"/>
          <w:sz w:val="19"/>
        </w:rPr>
        <w:t>BullDiv = 1[PriceSwingLow_2 &lt; PriceSwingLow_1 and FusionSwingLow_2 &gt; FusionSwingLow_1]</w:t>
      </w:r>
    </w:p>
    <w:p>
      <w:pPr>
        <w:jc w:val="center"/>
      </w:pPr>
      <w:r>
        <w:rPr>
          <w:rFonts w:ascii="Cambria Math" w:hAnsi="Cambria Math"/>
          <w:sz w:val="19"/>
        </w:rPr>
        <w:t>BearDiv = 1[PriceSwingHigh_2 &gt; PriceSwingHigh_1 and FusionSwingHigh_2 &lt; FusionSwingHigh_1]</w:t>
      </w:r>
    </w:p>
    <w:p>
      <w:r>
        <w:rPr>
          <w:b w:val="0"/>
          <w:i w:val="0"/>
        </w:rPr>
        <w:t>A divergence pair must be within 30 M5 bars and both swings must be confirmed before the divergence becomes available.</w:t>
      </w:r>
    </w:p>
    <w:p>
      <w:pPr>
        <w:pStyle w:val="Heading1"/>
      </w:pPr>
      <w:r>
        <w:t>15. Absorption / rejection proxy</w:t>
      </w:r>
    </w:p>
    <w:p>
      <w:pPr>
        <w:jc w:val="center"/>
      </w:pPr>
      <w:r>
        <w:rPr>
          <w:rFonts w:ascii="Cambria Math" w:hAnsi="Cambria Math"/>
          <w:sz w:val="19"/>
        </w:rPr>
        <w:t>PressureMagnitude_t = |Fusion_t|</w:t>
      </w:r>
    </w:p>
    <w:p>
      <w:pPr>
        <w:jc w:val="center"/>
      </w:pPr>
      <w:r>
        <w:rPr>
          <w:rFonts w:ascii="Cambria Math" w:hAnsi="Cambria Math"/>
          <w:sz w:val="19"/>
        </w:rPr>
        <w:t>PriceResponse_t = Body_t/ATR14_t</w:t>
      </w:r>
    </w:p>
    <w:p>
      <w:pPr>
        <w:jc w:val="center"/>
      </w:pPr>
      <w:r>
        <w:rPr>
          <w:rFonts w:ascii="Cambria Math" w:hAnsi="Cambria Math"/>
          <w:sz w:val="19"/>
        </w:rPr>
        <w:t>BearAbsorptionProxy = 1[Fusion_t≥0.60 and UpperWick/Range≥0.45 and PriceResponse_t≤0.60]</w:t>
      </w:r>
    </w:p>
    <w:p>
      <w:pPr>
        <w:jc w:val="center"/>
      </w:pPr>
      <w:r>
        <w:rPr>
          <w:rFonts w:ascii="Cambria Math" w:hAnsi="Cambria Math"/>
          <w:sz w:val="19"/>
        </w:rPr>
        <w:t>BullAbsorptionProxy = 1[Fusion_t≤−0.60 and LowerWick/Range≥0.45 and PriceResponse_t≤0.60]</w:t>
      </w:r>
    </w:p>
    <w:p>
      <w:r>
        <w:rPr>
          <w:b w:val="0"/>
          <w:i w:val="0"/>
        </w:rPr>
        <w:t>Interpretation: strong inferred directional pressure with weak net price response plus rejection. This is explicitly a proxy for behaviour observable in retail data, not proof of hidden resting liquidity.</w:t>
      </w:r>
    </w:p>
    <w:p>
      <w:pPr>
        <w:pStyle w:val="Heading1"/>
      </w:pPr>
      <w:r>
        <w:t>16. Acceptance outside value</w:t>
      </w:r>
    </w:p>
    <w:p>
      <w:pPr>
        <w:jc w:val="center"/>
      </w:pPr>
      <w:r>
        <w:rPr>
          <w:rFonts w:ascii="Cambria Math" w:hAnsi="Cambria Math"/>
          <w:sz w:val="19"/>
        </w:rPr>
        <w:t>OutsideValue_t = 1[C_t&gt;VAH_t or C_t&lt;VAL_t]</w:t>
      </w:r>
    </w:p>
    <w:p>
      <w:pPr>
        <w:jc w:val="center"/>
      </w:pPr>
      <w:r>
        <w:rPr>
          <w:rFonts w:ascii="Cambria Math" w:hAnsi="Cambria Math"/>
          <w:sz w:val="19"/>
        </w:rPr>
        <w:t>AcceptanceAbove = 1[CloseCountAboveVAH≥2 within 3 completed bars]</w:t>
      </w:r>
    </w:p>
    <w:p>
      <w:pPr>
        <w:jc w:val="center"/>
      </w:pPr>
      <w:r>
        <w:rPr>
          <w:rFonts w:ascii="Cambria Math" w:hAnsi="Cambria Math"/>
          <w:sz w:val="19"/>
        </w:rPr>
        <w:t>AcceptanceBelow = 1[CloseCountBelowVAL≥2 within 3 completed bars]</w:t>
      </w:r>
    </w:p>
    <w:p>
      <w:pPr>
        <w:jc w:val="center"/>
      </w:pPr>
      <w:r>
        <w:rPr>
          <w:rFonts w:ascii="Cambria Math" w:hAnsi="Cambria Math"/>
          <w:sz w:val="19"/>
        </w:rPr>
        <w:t>DeepReturnToValue = 1[OutsideValue_t−1=1 and C_t enters the interval [VAL,VAH]]</w:t>
      </w:r>
    </w:p>
    <w:p>
      <w:r>
        <w:rPr>
          <w:b w:val="0"/>
          <w:i w:val="0"/>
        </w:rPr>
        <w:t>Continuation evidence requires acceptance, not a single wick outside value. Deep return to value penalizes continuation.</w:t>
      </w:r>
    </w:p>
    <w:p>
      <w:pPr>
        <w:pStyle w:val="Heading1"/>
      </w:pPr>
      <w:r>
        <w:t>17. Mean-reversion evidence</w:t>
      </w:r>
    </w:p>
    <w:p>
      <w:pPr>
        <w:jc w:val="center"/>
      </w:pPr>
      <w:r>
        <w:rPr>
          <w:rFonts w:ascii="Cambria Math" w:hAnsi="Cambria Math"/>
          <w:sz w:val="19"/>
        </w:rPr>
        <w:t>Stretch = |DevVWAP_ATR|</w:t>
      </w:r>
    </w:p>
    <w:p>
      <w:pPr>
        <w:jc w:val="center"/>
      </w:pPr>
      <w:r>
        <w:rPr>
          <w:rFonts w:ascii="Cambria Math" w:hAnsi="Cambria Math"/>
          <w:sz w:val="19"/>
        </w:rPr>
        <w:t>StretchScore = clip((Stretch−1.0)/1.5,0,1)</w:t>
      </w:r>
    </w:p>
    <w:p>
      <w:pPr>
        <w:jc w:val="center"/>
      </w:pPr>
      <w:r>
        <w:rPr>
          <w:rFonts w:ascii="Cambria Math" w:hAnsi="Cambria Math"/>
          <w:sz w:val="19"/>
        </w:rPr>
        <w:t>RejectionScore = 1 if relevant rejection/sweep exists else 0</w:t>
      </w:r>
    </w:p>
    <w:p>
      <w:pPr>
        <w:jc w:val="center"/>
      </w:pPr>
      <w:r>
        <w:rPr>
          <w:rFonts w:ascii="Cambria Math" w:hAnsi="Cambria Math"/>
          <w:sz w:val="19"/>
        </w:rPr>
        <w:t>DivergenceScore = 1 if directional divergence exists else 0</w:t>
      </w:r>
    </w:p>
    <w:p>
      <w:pPr>
        <w:jc w:val="center"/>
      </w:pPr>
      <w:r>
        <w:rPr>
          <w:rFonts w:ascii="Cambria Math" w:hAnsi="Cambria Math"/>
          <w:sz w:val="19"/>
        </w:rPr>
        <w:t>ReturnValueScore = 1 if price has entered or is moving toward value after rejection else 0</w:t>
      </w:r>
    </w:p>
    <w:p>
      <w:pPr>
        <w:jc w:val="center"/>
      </w:pPr>
      <w:r>
        <w:rPr>
          <w:rFonts w:ascii="Cambria Math" w:hAnsi="Cambria Math"/>
          <w:sz w:val="19"/>
        </w:rPr>
        <w:t>MR_Evidence = 0.40×StretchScore + 0.25×RejectionScore + 0.20×DivergenceScore + 0.15×ReturnValueScore</w:t>
      </w:r>
    </w:p>
    <w:p>
      <w:r>
        <w:rPr>
          <w:b w:val="0"/>
          <w:i w:val="0"/>
        </w:rPr>
        <w:t>MR_Evidence is contextual evidence, not the final trade score.</w:t>
      </w:r>
    </w:p>
    <w:p>
      <w:pPr>
        <w:pStyle w:val="Heading1"/>
      </w:pPr>
      <w:r>
        <w:t>18. Continuation evidence</w:t>
      </w:r>
    </w:p>
    <w:p>
      <w:pPr>
        <w:jc w:val="center"/>
      </w:pPr>
      <w:r>
        <w:rPr>
          <w:rFonts w:ascii="Cambria Math" w:hAnsi="Cambria Math"/>
          <w:sz w:val="19"/>
        </w:rPr>
        <w:t>StructureScore = 1 if current confirmed BOS agrees with direction else 0</w:t>
      </w:r>
    </w:p>
    <w:p>
      <w:pPr>
        <w:jc w:val="center"/>
      </w:pPr>
      <w:r>
        <w:rPr>
          <w:rFonts w:ascii="Cambria Math" w:hAnsi="Cambria Math"/>
          <w:sz w:val="19"/>
        </w:rPr>
        <w:t>DisplacementScore = 1 if qualifying displacement agrees with direction else 0</w:t>
      </w:r>
    </w:p>
    <w:p>
      <w:pPr>
        <w:jc w:val="center"/>
      </w:pPr>
      <w:r>
        <w:rPr>
          <w:rFonts w:ascii="Cambria Math" w:hAnsi="Cambria Math"/>
          <w:sz w:val="19"/>
        </w:rPr>
        <w:t>AcceptanceScore = 1 if value acceptance agrees with direction else 0</w:t>
      </w:r>
    </w:p>
    <w:p>
      <w:pPr>
        <w:jc w:val="center"/>
      </w:pPr>
      <w:r>
        <w:rPr>
          <w:rFonts w:ascii="Cambria Math" w:hAnsi="Cambria Math"/>
          <w:sz w:val="19"/>
        </w:rPr>
        <w:t>PressureScore = clip((sign(direction)×Fusion−0.25)/0.75,0,1)</w:t>
      </w:r>
    </w:p>
    <w:p>
      <w:pPr>
        <w:jc w:val="center"/>
      </w:pPr>
      <w:r>
        <w:rPr>
          <w:rFonts w:ascii="Cambria Math" w:hAnsi="Cambria Math"/>
          <w:sz w:val="19"/>
        </w:rPr>
        <w:t>VolSupportScore = clip((RangeRatio−1.0)/1.0,0,1)</w:t>
      </w:r>
    </w:p>
    <w:p>
      <w:pPr>
        <w:jc w:val="center"/>
      </w:pPr>
      <w:r>
        <w:rPr>
          <w:rFonts w:ascii="Cambria Math" w:hAnsi="Cambria Math"/>
          <w:sz w:val="19"/>
        </w:rPr>
        <w:t>ContinuationEvidence = 0.30×StructureScore + 0.20×DisplacementScore + 0.20×AcceptanceScore + 0.20×PressureScore + 0.10×VolSupportScore</w:t>
      </w:r>
    </w:p>
    <w:p>
      <w:pPr>
        <w:jc w:val="center"/>
      </w:pPr>
      <w:r>
        <w:rPr>
          <w:rFonts w:ascii="Cambria Math" w:hAnsi="Cambria Math"/>
          <w:sz w:val="19"/>
        </w:rPr>
        <w:t>Directional continuation evidence is calculated separately for long and short.</w:t>
      </w:r>
    </w:p>
    <w:p>
      <w:pPr>
        <w:pStyle w:val="Heading1"/>
      </w:pPr>
      <w:r>
        <w:t>19. Final hypothesis scores</w:t>
      </w:r>
    </w:p>
    <w:p>
      <w:pPr>
        <w:jc w:val="center"/>
      </w:pPr>
      <w:r>
        <w:rPr>
          <w:rFonts w:ascii="Cambria Math" w:hAnsi="Cambria Math"/>
          <w:sz w:val="19"/>
        </w:rPr>
        <w:t>LongCont = ContinuationEvidence_long</w:t>
      </w:r>
    </w:p>
    <w:p>
      <w:pPr>
        <w:jc w:val="center"/>
      </w:pPr>
      <w:r>
        <w:rPr>
          <w:rFonts w:ascii="Cambria Math" w:hAnsi="Cambria Math"/>
          <w:sz w:val="19"/>
        </w:rPr>
        <w:t>ShortCont = ContinuationEvidence_short</w:t>
      </w:r>
    </w:p>
    <w:p>
      <w:pPr>
        <w:jc w:val="center"/>
      </w:pPr>
      <w:r>
        <w:rPr>
          <w:rFonts w:ascii="Cambria Math" w:hAnsi="Cambria Math"/>
          <w:sz w:val="19"/>
        </w:rPr>
        <w:t>LongMR = MR_Evidence when price is below/near lower value context</w:t>
      </w:r>
    </w:p>
    <w:p>
      <w:pPr>
        <w:jc w:val="center"/>
      </w:pPr>
      <w:r>
        <w:rPr>
          <w:rFonts w:ascii="Cambria Math" w:hAnsi="Cambria Math"/>
          <w:sz w:val="19"/>
        </w:rPr>
        <w:t>ShortMR = MR_Evidence when price is above/near upper value context</w:t>
      </w:r>
    </w:p>
    <w:p>
      <w:pPr>
        <w:jc w:val="center"/>
      </w:pPr>
      <w:r>
        <w:rPr>
          <w:rFonts w:ascii="Cambria Math" w:hAnsi="Cambria Math"/>
          <w:sz w:val="19"/>
        </w:rPr>
        <w:t>S_long = 0.60×LongCont + 0.40×LongMR</w:t>
      </w:r>
    </w:p>
    <w:p>
      <w:pPr>
        <w:jc w:val="center"/>
      </w:pPr>
      <w:r>
        <w:rPr>
          <w:rFonts w:ascii="Cambria Math" w:hAnsi="Cambria Math"/>
          <w:sz w:val="19"/>
        </w:rPr>
        <w:t>S_short = 0.60×ShortCont + 0.40×ShortMR</w:t>
      </w:r>
    </w:p>
    <w:p>
      <w:r>
        <w:rPr>
          <w:b w:val="0"/>
          <w:i w:val="0"/>
        </w:rPr>
        <w:t>Final selection requires S_selected≥0.65 and a margin of at least 0.15 over the opposite directional score. Otherwise WAIT/NO_TRADE. This is the deterministic baseline, not a profitability guarantee.</w:t>
      </w:r>
    </w:p>
    <w:p>
      <w:pPr>
        <w:pStyle w:val="Heading1"/>
      </w:pPr>
      <w:r>
        <w:t>20. Regime engine</w:t>
      </w:r>
    </w:p>
    <w:p>
      <w:pPr>
        <w:pStyle w:val="Heading2"/>
      </w:pPr>
      <w:r>
        <w:t>20.1 Base scores</w:t>
      </w:r>
    </w:p>
    <w:p>
      <w:pPr>
        <w:jc w:val="center"/>
      </w:pPr>
      <w:r>
        <w:rPr>
          <w:rFonts w:ascii="Cambria Math" w:hAnsi="Cambria Math"/>
          <w:sz w:val="19"/>
        </w:rPr>
        <w:t>TrendUp = 0.35×BullStructure + 0.25×BullPressure + 0.20×BullAcceptance + 0.20×BullParticipation</w:t>
      </w:r>
    </w:p>
    <w:p>
      <w:pPr>
        <w:jc w:val="center"/>
      </w:pPr>
      <w:r>
        <w:rPr>
          <w:rFonts w:ascii="Cambria Math" w:hAnsi="Cambria Math"/>
          <w:sz w:val="19"/>
        </w:rPr>
        <w:t>TrendDown = 0.35×BearStructure + 0.25×BearPressure + 0.20×BearAcceptance + 0.20×BearParticipation</w:t>
      </w:r>
    </w:p>
    <w:p>
      <w:pPr>
        <w:jc w:val="center"/>
      </w:pPr>
      <w:r>
        <w:rPr>
          <w:rFonts w:ascii="Cambria Math" w:hAnsi="Cambria Math"/>
          <w:sz w:val="19"/>
        </w:rPr>
        <w:t>Expansion = 0.50×RangeExpansionScore + 0.30×VolatilityExpansionScore + 0.20×ParticipationExpansionScore</w:t>
      </w:r>
    </w:p>
    <w:p>
      <w:pPr>
        <w:jc w:val="center"/>
      </w:pPr>
      <w:r>
        <w:rPr>
          <w:rFonts w:ascii="Cambria Math" w:hAnsi="Cambria Math"/>
          <w:sz w:val="19"/>
        </w:rPr>
        <w:t>Exhaustion = 0.40×Divergence + 0.30×Rejection/Absorption + 0.30×PressureDecay</w:t>
      </w:r>
    </w:p>
    <w:p>
      <w:pPr>
        <w:jc w:val="center"/>
      </w:pPr>
      <w:r>
        <w:rPr>
          <w:rFonts w:ascii="Cambria Math" w:hAnsi="Cambria Math"/>
          <w:sz w:val="19"/>
        </w:rPr>
        <w:t>Balance = 0.45×InsideValue + 0.30×VWAPRotation + 0.25×LowDirectionalPersistence</w:t>
      </w:r>
    </w:p>
    <w:p>
      <w:pPr>
        <w:pStyle w:val="Heading2"/>
      </w:pPr>
      <w:r>
        <w:t>20.2 Component normalization</w:t>
      </w:r>
    </w:p>
    <w:p>
      <w:pPr>
        <w:jc w:val="center"/>
      </w:pPr>
      <w:r>
        <w:rPr>
          <w:rFonts w:ascii="Cambria Math" w:hAnsi="Cambria Math"/>
          <w:sz w:val="19"/>
        </w:rPr>
        <w:t>RangeExpansionScore = clip((RangeRatio−1.0)/1.0,0,1)</w:t>
      </w:r>
    </w:p>
    <w:p>
      <w:pPr>
        <w:jc w:val="center"/>
      </w:pPr>
      <w:r>
        <w:rPr>
          <w:rFonts w:ascii="Cambria Math" w:hAnsi="Cambria Math"/>
          <w:sz w:val="19"/>
        </w:rPr>
        <w:t>VolatilityExpansionScore = clip((VolPercentile−60)/40,0,1)</w:t>
      </w:r>
    </w:p>
    <w:p>
      <w:pPr>
        <w:jc w:val="center"/>
      </w:pPr>
      <w:r>
        <w:rPr>
          <w:rFonts w:ascii="Cambria Math" w:hAnsi="Cambria Math"/>
          <w:sz w:val="19"/>
        </w:rPr>
        <w:t>ParticipationExpansionScore = clip((TickVolume/median(TickVolume_{20})−1.0)/1.0,0,1)</w:t>
      </w:r>
    </w:p>
    <w:p>
      <w:pPr>
        <w:jc w:val="center"/>
      </w:pPr>
      <w:r>
        <w:rPr>
          <w:rFonts w:ascii="Cambria Math" w:hAnsi="Cambria Math"/>
          <w:sz w:val="19"/>
        </w:rPr>
        <w:t>PressureDecay = clip((previous_abs_pressure−current_abs_pressure)/0.50,0,1)</w:t>
      </w:r>
    </w:p>
    <w:p>
      <w:pPr>
        <w:pStyle w:val="Heading2"/>
      </w:pPr>
      <w:r>
        <w:t>20.3 Regime state machine</w:t>
      </w:r>
    </w:p>
    <w:p>
      <w:pPr>
        <w:jc w:val="center"/>
      </w:pPr>
      <w:r>
        <w:rPr>
          <w:rFonts w:ascii="Cambria Math" w:hAnsi="Cambria Math"/>
          <w:sz w:val="19"/>
        </w:rPr>
        <w:t>Candidate = argmax{TrendUp,TrendDown,Balance,Expansion,Exhaustion}</w:t>
      </w:r>
    </w:p>
    <w:p>
      <w:r>
        <w:rPr>
          <w:b w:val="0"/>
          <w:i w:val="0"/>
        </w:rPr>
        <w:t>NEWS overrides normal regime when a configured high-impact event is inside the active news window and the news policy says NEWS. NO_TRADE overrides when critical data quality or risk vetoes fire.</w:t>
      </w:r>
    </w:p>
    <w:p>
      <w:r>
        <w:rPr>
          <w:b w:val="0"/>
          <w:i w:val="0"/>
        </w:rPr>
        <w:t>Persistence: candidate regime must be ≥0.60 for two consecutive M5 closes before changing from the current regime. Hysteresis: once a regime is active, a competing candidate must exceed the current regime score by ≥0.10 and satisfy the same persistence rule.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DDEBF7"/>
          </w:tcPr>
          <w:p>
            <w:r>
              <w:t>Regime</w:t>
            </w:r>
          </w:p>
        </w:tc>
        <w:tc>
          <w:tcPr>
            <w:tcW w:type="dxa" w:w="3427"/>
            <w:shd w:fill="DDEBF7"/>
          </w:tcPr>
          <w:p>
            <w:r>
              <w:t>Final threshold / condition</w:t>
            </w:r>
          </w:p>
        </w:tc>
        <w:tc>
          <w:tcPr>
            <w:tcW w:type="dxa" w:w="3427"/>
            <w:shd w:fill="DDEBF7"/>
          </w:tcPr>
          <w:p>
            <w:r>
              <w:t>Default posture</w:t>
            </w:r>
          </w:p>
        </w:tc>
      </w:tr>
      <w:tr>
        <w:tc>
          <w:tcPr>
            <w:tcW w:type="dxa" w:w="3427"/>
            <w:vAlign w:val="top"/>
          </w:tcPr>
          <w:p>
            <w:r>
              <w:t>TREND_UP</w:t>
            </w:r>
          </w:p>
        </w:tc>
        <w:tc>
          <w:tcPr>
            <w:tcW w:type="dxa" w:w="3427"/>
            <w:vAlign w:val="top"/>
          </w:tcPr>
          <w:p>
            <w:r>
              <w:t>TrendUp≥0.60 and TrendUp&gt;TrendDown</w:t>
            </w:r>
          </w:p>
        </w:tc>
        <w:tc>
          <w:tcPr>
            <w:tcW w:type="dxa" w:w="3427"/>
            <w:vAlign w:val="top"/>
          </w:tcPr>
          <w:p>
            <w:r>
              <w:t>Continuation</w:t>
            </w:r>
          </w:p>
        </w:tc>
      </w:tr>
      <w:tr>
        <w:tc>
          <w:tcPr>
            <w:tcW w:type="dxa" w:w="3427"/>
            <w:vAlign w:val="top"/>
          </w:tcPr>
          <w:p>
            <w:r>
              <w:t>TREND_DOWN</w:t>
            </w:r>
          </w:p>
        </w:tc>
        <w:tc>
          <w:tcPr>
            <w:tcW w:type="dxa" w:w="3427"/>
            <w:vAlign w:val="top"/>
          </w:tcPr>
          <w:p>
            <w:r>
              <w:t>TrendDown≥0.60 and TrendDown&gt;TrendUp</w:t>
            </w:r>
          </w:p>
        </w:tc>
        <w:tc>
          <w:tcPr>
            <w:tcW w:type="dxa" w:w="3427"/>
            <w:vAlign w:val="top"/>
          </w:tcPr>
          <w:p>
            <w:r>
              <w:t>Continuation</w:t>
            </w:r>
          </w:p>
        </w:tc>
      </w:tr>
      <w:tr>
        <w:tc>
          <w:tcPr>
            <w:tcW w:type="dxa" w:w="3427"/>
            <w:vAlign w:val="top"/>
          </w:tcPr>
          <w:p>
            <w:r>
              <w:t>BALANCED</w:t>
            </w:r>
          </w:p>
        </w:tc>
        <w:tc>
          <w:tcPr>
            <w:tcW w:type="dxa" w:w="3427"/>
            <w:vAlign w:val="top"/>
          </w:tcPr>
          <w:p>
            <w:r>
              <w:t>Balance≥0.60 and Expansion&lt;0.50</w:t>
            </w:r>
          </w:p>
        </w:tc>
        <w:tc>
          <w:tcPr>
            <w:tcW w:type="dxa" w:w="3427"/>
            <w:vAlign w:val="top"/>
          </w:tcPr>
          <w:p>
            <w:r>
              <w:t>Mean reversion</w:t>
            </w:r>
          </w:p>
        </w:tc>
      </w:tr>
      <w:tr>
        <w:tc>
          <w:tcPr>
            <w:tcW w:type="dxa" w:w="3427"/>
            <w:vAlign w:val="top"/>
          </w:tcPr>
          <w:p>
            <w:r>
              <w:t>EXPANSION</w:t>
            </w:r>
          </w:p>
        </w:tc>
        <w:tc>
          <w:tcPr>
            <w:tcW w:type="dxa" w:w="3427"/>
            <w:vAlign w:val="top"/>
          </w:tcPr>
          <w:p>
            <w:r>
              <w:t>Expansion≥0.60</w:t>
            </w:r>
          </w:p>
        </w:tc>
        <w:tc>
          <w:tcPr>
            <w:tcW w:type="dxa" w:w="3427"/>
            <w:vAlign w:val="top"/>
          </w:tcPr>
          <w:p>
            <w:r>
              <w:t>Wait or conditional continuation</w:t>
            </w:r>
          </w:p>
        </w:tc>
      </w:tr>
      <w:tr>
        <w:tc>
          <w:tcPr>
            <w:tcW w:type="dxa" w:w="3427"/>
            <w:vAlign w:val="top"/>
          </w:tcPr>
          <w:p>
            <w:r>
              <w:t>EXHAUSTION</w:t>
            </w:r>
          </w:p>
        </w:tc>
        <w:tc>
          <w:tcPr>
            <w:tcW w:type="dxa" w:w="3427"/>
            <w:vAlign w:val="top"/>
          </w:tcPr>
          <w:p>
            <w:r>
              <w:t>Exhaustion≥0.60</w:t>
            </w:r>
          </w:p>
        </w:tc>
        <w:tc>
          <w:tcPr>
            <w:tcW w:type="dxa" w:w="3427"/>
            <w:vAlign w:val="top"/>
          </w:tcPr>
          <w:p>
            <w:r>
              <w:t>Mean reversion after rejection</w:t>
            </w:r>
          </w:p>
        </w:tc>
      </w:tr>
      <w:tr>
        <w:tc>
          <w:tcPr>
            <w:tcW w:type="dxa" w:w="3427"/>
            <w:vAlign w:val="top"/>
          </w:tcPr>
          <w:p>
            <w:r>
              <w:t>NEWS</w:t>
            </w:r>
          </w:p>
        </w:tc>
        <w:tc>
          <w:tcPr>
            <w:tcW w:type="dxa" w:w="3427"/>
            <w:vAlign w:val="top"/>
          </w:tcPr>
          <w:p>
            <w:r>
              <w:t>Configured event policy active</w:t>
            </w:r>
          </w:p>
        </w:tc>
        <w:tc>
          <w:tcPr>
            <w:tcW w:type="dxa" w:w="3427"/>
            <w:vAlign w:val="top"/>
          </w:tcPr>
          <w:p>
            <w:r>
              <w:t>News rules/reduced exposure</w:t>
            </w:r>
          </w:p>
        </w:tc>
      </w:tr>
      <w:tr>
        <w:tc>
          <w:tcPr>
            <w:tcW w:type="dxa" w:w="3427"/>
            <w:vAlign w:val="top"/>
          </w:tcPr>
          <w:p>
            <w:r>
              <w:t>NO_TRADE</w:t>
            </w:r>
          </w:p>
        </w:tc>
        <w:tc>
          <w:tcPr>
            <w:tcW w:type="dxa" w:w="3427"/>
            <w:vAlign w:val="top"/>
          </w:tcPr>
          <w:p>
            <w:r>
              <w:t>Hard veto / insufficient quality / unresolved conflict</w:t>
            </w:r>
          </w:p>
        </w:tc>
        <w:tc>
          <w:tcPr>
            <w:tcW w:type="dxa" w:w="3427"/>
            <w:vAlign w:val="top"/>
          </w:tcPr>
          <w:p>
            <w:r>
              <w:t>None</w:t>
            </w:r>
          </w:p>
        </w:tc>
      </w:tr>
    </w:tbl>
    <w:p/>
    <w:p>
      <w:pPr>
        <w:pStyle w:val="Heading1"/>
      </w:pPr>
      <w:r>
        <w:t>21. News calculations</w:t>
      </w:r>
    </w:p>
    <w:p>
      <w:pPr>
        <w:jc w:val="center"/>
      </w:pPr>
      <w:r>
        <w:rPr>
          <w:rFonts w:ascii="Cambria Math" w:hAnsi="Cambria Math"/>
          <w:sz w:val="19"/>
        </w:rPr>
        <w:t>TimeToEvent = EventTimestamp − CurrentTimestamp</w:t>
      </w:r>
    </w:p>
    <w:p>
      <w:pPr>
        <w:jc w:val="center"/>
      </w:pPr>
      <w:r>
        <w:rPr>
          <w:rFonts w:ascii="Cambria Math" w:hAnsi="Cambria Math"/>
          <w:sz w:val="19"/>
        </w:rPr>
        <w:t>Surprise = Actual − Forecast</w:t>
      </w:r>
    </w:p>
    <w:p>
      <w:pPr>
        <w:jc w:val="center"/>
      </w:pPr>
      <w:r>
        <w:rPr>
          <w:rFonts w:ascii="Cambria Math" w:hAnsi="Cambria Math"/>
          <w:sz w:val="19"/>
        </w:rPr>
        <w:t>RelativeSurprise = (Actual−Forecast)/max(|Forecast|,ε)</w:t>
      </w:r>
    </w:p>
    <w:p>
      <w:pPr>
        <w:jc w:val="center"/>
      </w:pPr>
      <w:r>
        <w:rPr>
          <w:rFonts w:ascii="Cambria Math" w:hAnsi="Cambria Math"/>
          <w:sz w:val="19"/>
        </w:rPr>
        <w:t>ReactionReturn_k = C_{t+k}/C_t − 1</w:t>
      </w:r>
    </w:p>
    <w:p>
      <w:pPr>
        <w:jc w:val="center"/>
      </w:pPr>
      <w:r>
        <w:rPr>
          <w:rFonts w:ascii="Cambria Math" w:hAnsi="Cambria Math"/>
          <w:sz w:val="19"/>
        </w:rPr>
        <w:t>ReactionATR_k = (C_{t+k}−C_t)/ATR14_t</w:t>
      </w:r>
    </w:p>
    <w:p>
      <w:pPr>
        <w:jc w:val="center"/>
      </w:pPr>
      <w:r>
        <w:rPr>
          <w:rFonts w:ascii="Cambria Math" w:hAnsi="Cambria Math"/>
          <w:sz w:val="19"/>
        </w:rPr>
        <w:t>NewsVolRatio = ATR14_post/ATR14_pre</w:t>
      </w:r>
    </w:p>
    <w:p>
      <w:r>
        <w:rPr>
          <w:b w:val="0"/>
          <w:i w:val="0"/>
        </w:rPr>
        <w:t>Final baseline reaction window: 3 M5 bars after release. High-impact event filter: 30 minutes before through 30 minutes after release unless configuration says otherwise. Revised economic values are not permitted in historical replay unless their revision timestamp was available at the simulated time.</w:t>
      </w:r>
    </w:p>
    <w:p>
      <w:pPr>
        <w:pStyle w:val="Heading1"/>
      </w:pPr>
      <w:r>
        <w:t>22. Options / dealer-positioning layer</w:t>
      </w:r>
    </w:p>
    <w:p>
      <w:r>
        <w:rPr>
          <w:b w:val="0"/>
          <w:i w:val="0"/>
        </w:rPr>
        <w:t>Options are contextual only. The source documents identify exact GEX/hedge-wall/liquidity-floor mathematics as reconstructed rather than source-supported; therefore this baseline does not pretend to have institutional GEX.</w:t>
      </w:r>
    </w:p>
    <w:p>
      <w:pPr>
        <w:jc w:val="center"/>
      </w:pPr>
      <w:r>
        <w:rPr>
          <w:rFonts w:ascii="Cambria Math" w:hAnsi="Cambria Math"/>
          <w:sz w:val="19"/>
        </w:rPr>
        <w:t>Basis_t = GCPrice_t − XAUUSDPrice_t</w:t>
      </w:r>
    </w:p>
    <w:p>
      <w:pPr>
        <w:jc w:val="center"/>
      </w:pPr>
      <w:r>
        <w:rPr>
          <w:rFonts w:ascii="Cambria Math" w:hAnsi="Cambria Math"/>
          <w:sz w:val="19"/>
        </w:rPr>
        <w:t>MappedSpotLevel_t = GCStrike − Basis_t</w:t>
      </w:r>
    </w:p>
    <w:p>
      <w:pPr>
        <w:jc w:val="center"/>
      </w:pPr>
      <w:r>
        <w:rPr>
          <w:rFonts w:ascii="Cambria Math" w:hAnsi="Cambria Math"/>
          <w:sz w:val="19"/>
        </w:rPr>
        <w:t>StrikeDistanceATR = (Spot−Strike)/ATR14</w:t>
      </w:r>
    </w:p>
    <w:p>
      <w:pPr>
        <w:jc w:val="center"/>
      </w:pPr>
      <w:r>
        <w:rPr>
          <w:rFonts w:ascii="Cambria Math" w:hAnsi="Cambria Math"/>
          <w:sz w:val="19"/>
        </w:rPr>
        <w:t>OIShare_k = OI_k / Σ_j OI_j</w:t>
      </w:r>
    </w:p>
    <w:p>
      <w:pPr>
        <w:jc w:val="center"/>
      </w:pPr>
      <w:r>
        <w:rPr>
          <w:rFonts w:ascii="Cambria Math" w:hAnsi="Cambria Math"/>
          <w:sz w:val="19"/>
        </w:rPr>
        <w:t>OIConcentration = max_k(OIShare_k)</w:t>
      </w:r>
    </w:p>
    <w:p>
      <w:r>
        <w:rPr>
          <w:b w:val="0"/>
          <w:i w:val="0"/>
        </w:rPr>
        <w:t>Final baseline: options can modify evidence by at most ±0.10 in a hypothesis score and can never create a trade by themselves. If the options source is absent/stale, set the feature unavailable rather than manufacture a value.</w:t>
      </w:r>
    </w:p>
    <w:p>
      <w:pPr>
        <w:pStyle w:val="Heading1"/>
      </w:pPr>
      <w:r>
        <w:t>23. CFTC/COT layer</w:t>
      </w:r>
    </w:p>
    <w:p>
      <w:pPr>
        <w:jc w:val="center"/>
      </w:pPr>
      <w:r>
        <w:rPr>
          <w:rFonts w:ascii="Cambria Math" w:hAnsi="Cambria Math"/>
          <w:sz w:val="19"/>
        </w:rPr>
        <w:t>NetPosition_t = Long_t − Short_t</w:t>
      </w:r>
    </w:p>
    <w:p>
      <w:pPr>
        <w:jc w:val="center"/>
      </w:pPr>
      <w:r>
        <w:rPr>
          <w:rFonts w:ascii="Cambria Math" w:hAnsi="Cambria Math"/>
          <w:sz w:val="19"/>
        </w:rPr>
        <w:t>ΔLong_t = Long_t − Long_{t−1}</w:t>
      </w:r>
    </w:p>
    <w:p>
      <w:pPr>
        <w:jc w:val="center"/>
      </w:pPr>
      <w:r>
        <w:rPr>
          <w:rFonts w:ascii="Cambria Math" w:hAnsi="Cambria Math"/>
          <w:sz w:val="19"/>
        </w:rPr>
        <w:t>ΔShort_t = Short_t − Short_{t−1}</w:t>
      </w:r>
    </w:p>
    <w:p>
      <w:pPr>
        <w:jc w:val="center"/>
      </w:pPr>
      <w:r>
        <w:rPr>
          <w:rFonts w:ascii="Cambria Math" w:hAnsi="Cambria Math"/>
          <w:sz w:val="19"/>
        </w:rPr>
        <w:t>ΔNet_t = NetPosition_t − NetPosition_{t−1}</w:t>
      </w:r>
    </w:p>
    <w:p>
      <w:pPr>
        <w:jc w:val="center"/>
      </w:pPr>
      <w:r>
        <w:rPr>
          <w:rFonts w:ascii="Cambria Math" w:hAnsi="Cambria Math"/>
          <w:sz w:val="19"/>
        </w:rPr>
        <w:t>PositionPercentile_t = percentile_rank(NetPosition_t, previous 156 releases)</w:t>
      </w:r>
    </w:p>
    <w:p>
      <w:pPr>
        <w:jc w:val="center"/>
      </w:pPr>
      <w:r>
        <w:rPr>
          <w:rFonts w:ascii="Cambria Math" w:hAnsi="Cambria Math"/>
          <w:sz w:val="19"/>
        </w:rPr>
        <w:t>Extreme = 1 if PositionPercentile≤10 or ≥90</w:t>
      </w:r>
    </w:p>
    <w:p>
      <w:pPr>
        <w:jc w:val="center"/>
      </w:pPr>
      <w:r>
        <w:rPr>
          <w:rFonts w:ascii="Cambria Math" w:hAnsi="Cambria Math"/>
          <w:sz w:val="19"/>
        </w:rPr>
        <w:t>ReleaseAge = CurrentTimestamp − PublicationTimestamp</w:t>
      </w:r>
    </w:p>
    <w:p>
      <w:r>
        <w:rPr>
          <w:b w:val="0"/>
          <w:i w:val="0"/>
        </w:rPr>
        <w:t>Final baseline: CFTC is contextual and slow-moving. It may alter regime/hypothesis evidence by at most ±0.05. It cannot override price/structure/risk. No COT observation may be used before its publication timestamp.</w:t>
      </w:r>
    </w:p>
    <w:p>
      <w:pPr>
        <w:pStyle w:val="Heading1"/>
      </w:pPr>
      <w:r>
        <w:t>24. Risk mathematics</w:t>
      </w:r>
    </w:p>
    <w:p>
      <w:pPr>
        <w:pStyle w:val="Heading2"/>
      </w:pPr>
      <w:r>
        <w:t>24.1 Risk amount</w:t>
      </w:r>
    </w:p>
    <w:p>
      <w:pPr>
        <w:jc w:val="center"/>
      </w:pPr>
      <w:r>
        <w:rPr>
          <w:rFonts w:ascii="Cambria Math" w:hAnsi="Cambria Math"/>
          <w:sz w:val="19"/>
        </w:rPr>
        <w:t>RiskAmount = Equity × 0.005</w:t>
      </w:r>
    </w:p>
    <w:p>
      <w:r>
        <w:rPr>
          <w:b w:val="0"/>
          <w:i w:val="0"/>
        </w:rPr>
        <w:t>0.5% is the project's initial research risk-per-trade parameter.</w:t>
      </w:r>
    </w:p>
    <w:p>
      <w:pPr>
        <w:pStyle w:val="Heading2"/>
      </w:pPr>
      <w:r>
        <w:t>24.2 Position size</w:t>
      </w:r>
    </w:p>
    <w:p>
      <w:pPr>
        <w:jc w:val="center"/>
      </w:pPr>
      <w:r>
        <w:rPr>
          <w:rFonts w:ascii="Cambria Math" w:hAnsi="Cambria Math"/>
          <w:sz w:val="19"/>
        </w:rPr>
        <w:t>StopDistance = |Entry−Stop|</w:t>
      </w:r>
    </w:p>
    <w:p>
      <w:pPr>
        <w:jc w:val="center"/>
      </w:pPr>
      <w:r>
        <w:rPr>
          <w:rFonts w:ascii="Cambria Math" w:hAnsi="Cambria Math"/>
          <w:sz w:val="19"/>
        </w:rPr>
        <w:t>LossPerLot = (StopDistance/TickSize)×TickValue</w:t>
      </w:r>
    </w:p>
    <w:p>
      <w:pPr>
        <w:jc w:val="center"/>
      </w:pPr>
      <w:r>
        <w:rPr>
          <w:rFonts w:ascii="Cambria Math" w:hAnsi="Cambria Math"/>
          <w:sz w:val="19"/>
        </w:rPr>
        <w:t>RawLots = RiskAmount/LossPerLot</w:t>
      </w:r>
    </w:p>
    <w:p>
      <w:pPr>
        <w:jc w:val="center"/>
      </w:pPr>
      <w:r>
        <w:rPr>
          <w:rFonts w:ascii="Cambria Math" w:hAnsi="Cambria Math"/>
          <w:sz w:val="19"/>
        </w:rPr>
        <w:t>Lots = floor(RawLots/VolumeStep)×VolumeStep</w:t>
      </w:r>
    </w:p>
    <w:p>
      <w:pPr>
        <w:jc w:val="center"/>
      </w:pPr>
      <w:r>
        <w:rPr>
          <w:rFonts w:ascii="Cambria Math" w:hAnsi="Cambria Math"/>
          <w:sz w:val="19"/>
        </w:rPr>
        <w:t>Lots = min(max(Lots,VolumeMin),VolumeMax)</w:t>
      </w:r>
    </w:p>
    <w:p>
      <w:r>
        <w:rPr>
          <w:b w:val="0"/>
          <w:i w:val="0"/>
        </w:rPr>
        <w:t>If the rounded minimum lot would risk more than the permitted risk budget, the trade is rejected rather than forced to minimum volume.</w:t>
      </w:r>
    </w:p>
    <w:p>
      <w:pPr>
        <w:pStyle w:val="Heading2"/>
      </w:pPr>
      <w:r>
        <w:t>24.3 Risk limits</w:t>
      </w:r>
    </w:p>
    <w:p>
      <w:pPr>
        <w:jc w:val="center"/>
      </w:pPr>
      <w:r>
        <w:rPr>
          <w:rFonts w:ascii="Cambria Math" w:hAnsi="Cambria Math"/>
          <w:sz w:val="19"/>
        </w:rPr>
        <w:t>DailyLossPct = (StartOfDayEquity−CurrentEquity)/StartOfDayEquity×100</w:t>
      </w:r>
    </w:p>
    <w:p>
      <w:pPr>
        <w:jc w:val="center"/>
      </w:pPr>
      <w:r>
        <w:rPr>
          <w:rFonts w:ascii="Cambria Math" w:hAnsi="Cambria Math"/>
          <w:sz w:val="19"/>
        </w:rPr>
        <w:t>DrawdownPct = (PeakEquity−CurrentEquity)/PeakEquity×100</w:t>
      </w:r>
    </w:p>
    <w:p>
      <w:r>
        <w:rPr>
          <w:b w:val="0"/>
          <w:i w:val="0"/>
        </w:rPr>
        <w:t>Hard veto: DailyLossPct≥2.0% or DrawdownPct≥5.0%. These are starting engineering limits established by the foundation and remain independent of confidence.</w:t>
      </w:r>
    </w:p>
    <w:p>
      <w:pPr>
        <w:pStyle w:val="Heading2"/>
      </w:pPr>
      <w:r>
        <w:t>24.4 Stop and target</w:t>
      </w:r>
    </w:p>
    <w:p>
      <w:r>
        <w:rPr>
          <w:b w:val="0"/>
          <w:i w:val="0"/>
        </w:rPr>
        <w:t>Final baseline stop selection is structural-first with ATR safety padding:</w:t>
      </w:r>
    </w:p>
    <w:p>
      <w:pPr>
        <w:jc w:val="center"/>
      </w:pPr>
      <w:r>
        <w:rPr>
          <w:rFonts w:ascii="Cambria Math" w:hAnsi="Cambria Math"/>
          <w:sz w:val="19"/>
        </w:rPr>
        <w:t>LongSL = min(StructuralInvalidation, Entry−1.0×ATR14)</w:t>
      </w:r>
    </w:p>
    <w:p>
      <w:pPr>
        <w:jc w:val="center"/>
      </w:pPr>
      <w:r>
        <w:rPr>
          <w:rFonts w:ascii="Cambria Math" w:hAnsi="Cambria Math"/>
          <w:sz w:val="19"/>
        </w:rPr>
        <w:t>ShortSL = max(StructuralInvalidation, Entry+1.0×ATR14)</w:t>
      </w:r>
    </w:p>
    <w:p>
      <w:r>
        <w:rPr>
          <w:b w:val="0"/>
          <w:i w:val="0"/>
        </w:rPr>
        <w:t>The selected stop must also respect broker minimum stop distance. If no valid structural invalidation exists, use 1.5×ATR14 as the research fallback. This fallback is a configuration-level rule and must be logged.</w:t>
      </w:r>
    </w:p>
    <w:p>
      <w:pPr>
        <w:jc w:val="center"/>
      </w:pPr>
      <w:r>
        <w:rPr>
          <w:rFonts w:ascii="Cambria Math" w:hAnsi="Cambria Math"/>
          <w:sz w:val="19"/>
        </w:rPr>
        <w:t>LongTP_2R = Entry + 2×|Entry−SL|</w:t>
      </w:r>
    </w:p>
    <w:p>
      <w:pPr>
        <w:jc w:val="center"/>
      </w:pPr>
      <w:r>
        <w:rPr>
          <w:rFonts w:ascii="Cambria Math" w:hAnsi="Cambria Math"/>
          <w:sz w:val="19"/>
        </w:rPr>
        <w:t>ShortTP_2R = Entry − 2×|Entry−SL|</w:t>
      </w:r>
    </w:p>
    <w:p>
      <w:r>
        <w:rPr>
          <w:b w:val="0"/>
          <w:i w:val="0"/>
        </w:rPr>
        <w:t>Partial exit: baseline research parameter is 50% at 2R. Remaining position management must be separately configured and must not change the original risk accounting.</w:t>
      </w:r>
    </w:p>
    <w:p>
      <w:pPr>
        <w:pStyle w:val="Heading2"/>
      </w:pPr>
      <w:r>
        <w:t>24.5 Trailing</w:t>
      </w:r>
    </w:p>
    <w:p>
      <w:pPr>
        <w:jc w:val="center"/>
      </w:pPr>
      <w:r>
        <w:rPr>
          <w:rFonts w:ascii="Cambria Math" w:hAnsi="Cambria Math"/>
          <w:sz w:val="19"/>
        </w:rPr>
        <w:t>LongTrail = max(previous LongTrail, HighestSinceEntry − 1.5×ATR14)</w:t>
      </w:r>
    </w:p>
    <w:p>
      <w:pPr>
        <w:jc w:val="center"/>
      </w:pPr>
      <w:r>
        <w:rPr>
          <w:rFonts w:ascii="Cambria Math" w:hAnsi="Cambria Math"/>
          <w:sz w:val="19"/>
        </w:rPr>
        <w:t>ShortTrail = min(previous ShortTrail, LowestSinceEntry + 1.5×ATR14)</w:t>
      </w:r>
    </w:p>
    <w:p>
      <w:r>
        <w:rPr>
          <w:b w:val="0"/>
          <w:i w:val="0"/>
        </w:rPr>
        <w:t>Trailing becomes eligible only after +1R unrealized excursion. The trail cannot loosen risk.</w:t>
      </w:r>
    </w:p>
    <w:p>
      <w:pPr>
        <w:pStyle w:val="Heading1"/>
      </w:pPr>
      <w:r>
        <w:t>25. Spread and execution filters</w:t>
      </w:r>
    </w:p>
    <w:p>
      <w:pPr>
        <w:jc w:val="center"/>
      </w:pPr>
      <w:r>
        <w:rPr>
          <w:rFonts w:ascii="Cambria Math" w:hAnsi="Cambria Math"/>
          <w:sz w:val="19"/>
        </w:rPr>
        <w:t>Spread = Ask−Bid</w:t>
      </w:r>
    </w:p>
    <w:p>
      <w:pPr>
        <w:jc w:val="center"/>
      </w:pPr>
      <w:r>
        <w:rPr>
          <w:rFonts w:ascii="Cambria Math" w:hAnsi="Cambria Math"/>
          <w:sz w:val="19"/>
        </w:rPr>
        <w:t>SpreadPoints = Spread/Point</w:t>
      </w:r>
    </w:p>
    <w:p>
      <w:pPr>
        <w:jc w:val="center"/>
      </w:pPr>
      <w:r>
        <w:rPr>
          <w:rFonts w:ascii="Cambria Math" w:hAnsi="Cambria Math"/>
          <w:sz w:val="19"/>
        </w:rPr>
        <w:t>SpreadATR = Spread/ATR14</w:t>
      </w:r>
    </w:p>
    <w:p>
      <w:pPr>
        <w:jc w:val="center"/>
      </w:pPr>
      <w:r>
        <w:rPr>
          <w:rFonts w:ascii="Cambria Math" w:hAnsi="Cambria Math"/>
          <w:sz w:val="19"/>
        </w:rPr>
        <w:t>SlippageLong = FillPrice−RequestedPrice</w:t>
      </w:r>
    </w:p>
    <w:p>
      <w:pPr>
        <w:jc w:val="center"/>
      </w:pPr>
      <w:r>
        <w:rPr>
          <w:rFonts w:ascii="Cambria Math" w:hAnsi="Cambria Math"/>
          <w:sz w:val="19"/>
        </w:rPr>
        <w:t>SlippageShort = RequestedPrice−FillPrice</w:t>
      </w:r>
    </w:p>
    <w:p>
      <w:pPr>
        <w:jc w:val="center"/>
      </w:pPr>
      <w:r>
        <w:rPr>
          <w:rFonts w:ascii="Cambria Math" w:hAnsi="Cambria Math"/>
          <w:sz w:val="19"/>
        </w:rPr>
        <w:t>NetPnL = GrossPnL−SpreadCost−SlippageCost−CommissionCost</w:t>
      </w:r>
    </w:p>
    <w:p>
      <w:r>
        <w:rPr>
          <w:b w:val="0"/>
          <w:i w:val="0"/>
        </w:rPr>
        <w:t>Final baseline: spread must be ≤ configured maximum and must not exceed 10% of the planned stop distance. Broker symbol properties determine point, tick size, tick value and volume step. Any invalid broker property is a hard execution failure.</w:t>
      </w:r>
    </w:p>
    <w:p>
      <w:pPr>
        <w:pStyle w:val="Heading1"/>
      </w:pPr>
      <w:r>
        <w:t>26. Confidence and final decision gate</w:t>
      </w:r>
    </w:p>
    <w:p>
      <w:pPr>
        <w:jc w:val="center"/>
      </w:pPr>
      <w:r>
        <w:rPr>
          <w:rFonts w:ascii="Cambria Math" w:hAnsi="Cambria Math"/>
          <w:sz w:val="19"/>
        </w:rPr>
        <w:t>ScoreMargin = S_best − S_second</w:t>
      </w:r>
    </w:p>
    <w:p>
      <w:pPr>
        <w:jc w:val="center"/>
      </w:pPr>
      <w:r>
        <w:rPr>
          <w:rFonts w:ascii="Cambria Math" w:hAnsi="Cambria Math"/>
          <w:sz w:val="19"/>
        </w:rPr>
        <w:t>Confidence = clip((S_best−0.50)/0.40,0,1)</w:t>
      </w:r>
    </w:p>
    <w:p>
      <w:r>
        <w:rPr>
          <w:b w:val="0"/>
          <w:i w:val="0"/>
        </w:rPr>
        <w:t>Confidence is an evidence-strength score, not a calibrated probability.</w:t>
      </w:r>
    </w:p>
    <w:p>
      <w:pPr>
        <w:jc w:val="center"/>
      </w:pPr>
      <w:r>
        <w:rPr>
          <w:rFonts w:ascii="Cambria Math" w:hAnsi="Cambria Math"/>
          <w:sz w:val="19"/>
        </w:rPr>
        <w:t>Eligibility = DataOK × RiskOK × SpreadOK × SessionOK × NewsOK × ExecutionOK</w:t>
      </w:r>
    </w:p>
    <w:p>
      <w:pPr>
        <w:jc w:val="center"/>
      </w:pPr>
      <w:r>
        <w:rPr>
          <w:rFonts w:ascii="Cambria Math" w:hAnsi="Cambria Math"/>
          <w:sz w:val="19"/>
        </w:rPr>
        <w:t>TRADE if Eligibility=1, S_best≥0.65, ScoreMargin≥0.15, Confidence≥0.375</w:t>
      </w:r>
    </w:p>
    <w:p>
      <w:r>
        <w:rPr>
          <w:b w:val="0"/>
          <w:i w:val="0"/>
        </w:rPr>
        <w:t>For practical interpretation, Confidence≥0.50 corresponds to S_best≥0.70; Confidence is logged but must never bypass hard risk.</w:t>
      </w:r>
    </w:p>
    <w:p>
      <w:pPr>
        <w:jc w:val="center"/>
      </w:pPr>
      <w:r>
        <w:rPr>
          <w:rFonts w:ascii="Cambria Math" w:hAnsi="Cambria Math"/>
          <w:sz w:val="19"/>
        </w:rPr>
        <w:t>If Eligibility=0 → NO_TRADE</w:t>
      </w:r>
    </w:p>
    <w:p>
      <w:pPr>
        <w:jc w:val="center"/>
      </w:pPr>
      <w:r>
        <w:rPr>
          <w:rFonts w:ascii="Cambria Math" w:hAnsi="Cambria Math"/>
          <w:sz w:val="19"/>
        </w:rPr>
        <w:t>If S_best&lt;0.65 or margin&lt;0.15 → WAIT</w:t>
      </w:r>
    </w:p>
    <w:p>
      <w:r>
        <w:rPr>
          <w:b w:val="0"/>
          <w:i w:val="0"/>
        </w:rPr>
        <w:t>The DecisionAction mapping remains TRADE / REDUCE / WAIT / NO_TRADE under the frozen Phase-0 contract.</w:t>
      </w:r>
    </w:p>
    <w:p>
      <w:pPr>
        <w:pStyle w:val="Heading1"/>
      </w:pPr>
      <w:r>
        <w:t>27. External-data modifiers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DDEBF7"/>
          </w:tcPr>
          <w:p>
            <w:r>
              <w:t>Source</w:t>
            </w:r>
          </w:p>
        </w:tc>
        <w:tc>
          <w:tcPr>
            <w:tcW w:type="dxa" w:w="3427"/>
            <w:shd w:fill="DDEBF7"/>
          </w:tcPr>
          <w:p>
            <w:r>
              <w:t>Maximum baseline influence</w:t>
            </w:r>
          </w:p>
        </w:tc>
        <w:tc>
          <w:tcPr>
            <w:tcW w:type="dxa" w:w="3427"/>
            <w:shd w:fill="DDEBF7"/>
          </w:tcPr>
          <w:p>
            <w:r>
              <w:t>Required condition</w:t>
            </w:r>
          </w:p>
        </w:tc>
      </w:tr>
      <w:tr>
        <w:tc>
          <w:tcPr>
            <w:tcW w:type="dxa" w:w="3427"/>
            <w:vAlign w:val="top"/>
          </w:tcPr>
          <w:p>
            <w:r>
              <w:t>Options</w:t>
            </w:r>
          </w:p>
        </w:tc>
        <w:tc>
          <w:tcPr>
            <w:tcW w:type="dxa" w:w="3427"/>
            <w:vAlign w:val="top"/>
          </w:tcPr>
          <w:p>
            <w:r>
              <w:t>±0.10 score</w:t>
            </w:r>
          </w:p>
        </w:tc>
        <w:tc>
          <w:tcPr>
            <w:tcW w:type="dxa" w:w="3427"/>
            <w:vAlign w:val="top"/>
          </w:tcPr>
          <w:p>
            <w:r>
              <w:t>Fresh, timestamped, quality-valid</w:t>
            </w:r>
          </w:p>
        </w:tc>
      </w:tr>
      <w:tr>
        <w:tc>
          <w:tcPr>
            <w:tcW w:type="dxa" w:w="3427"/>
            <w:vAlign w:val="top"/>
          </w:tcPr>
          <w:p>
            <w:r>
              <w:t>CFTC</w:t>
            </w:r>
          </w:p>
        </w:tc>
        <w:tc>
          <w:tcPr>
            <w:tcW w:type="dxa" w:w="3427"/>
            <w:vAlign w:val="top"/>
          </w:tcPr>
          <w:p>
            <w:r>
              <w:t>±0.05 score</w:t>
            </w:r>
          </w:p>
        </w:tc>
        <w:tc>
          <w:tcPr>
            <w:tcW w:type="dxa" w:w="3427"/>
            <w:vAlign w:val="top"/>
          </w:tcPr>
          <w:p>
            <w:r>
              <w:t>Published before decision timestamp</w:t>
            </w:r>
          </w:p>
        </w:tc>
      </w:tr>
      <w:tr>
        <w:tc>
          <w:tcPr>
            <w:tcW w:type="dxa" w:w="3427"/>
            <w:vAlign w:val="top"/>
          </w:tcPr>
          <w:p>
            <w:r>
              <w:t>News</w:t>
            </w:r>
          </w:p>
        </w:tc>
        <w:tc>
          <w:tcPr>
            <w:tcW w:type="dxa" w:w="3427"/>
            <w:vAlign w:val="top"/>
          </w:tcPr>
          <w:p>
            <w:r>
              <w:t>Can switch to NEWS regime</w:t>
            </w:r>
          </w:p>
        </w:tc>
        <w:tc>
          <w:tcPr>
            <w:tcW w:type="dxa" w:w="3427"/>
            <w:vAlign w:val="top"/>
          </w:tcPr>
          <w:p>
            <w:r>
              <w:t>Event timing/reaction policy valid</w:t>
            </w:r>
          </w:p>
        </w:tc>
      </w:tr>
      <w:tr>
        <w:tc>
          <w:tcPr>
            <w:tcW w:type="dxa" w:w="3427"/>
            <w:vAlign w:val="top"/>
          </w:tcPr>
          <w:p>
            <w:r>
              <w:t>External flow</w:t>
            </w:r>
          </w:p>
        </w:tc>
        <w:tc>
          <w:tcPr>
            <w:tcW w:type="dxa" w:w="3427"/>
            <w:vAlign w:val="top"/>
          </w:tcPr>
          <w:p>
            <w:r>
              <w:t>May replace/compare with proxy mode</w:t>
            </w:r>
          </w:p>
        </w:tc>
        <w:tc>
          <w:tcPr>
            <w:tcW w:type="dxa" w:w="3427"/>
            <w:vAlign w:val="top"/>
          </w:tcPr>
          <w:p>
            <w:r>
              <w:t>Explicit source identity and timestamp</w:t>
            </w:r>
          </w:p>
        </w:tc>
      </w:tr>
    </w:tbl>
    <w:p/>
    <w:p>
      <w:r>
        <w:rPr>
          <w:b w:val="0"/>
          <w:i w:val="0"/>
        </w:rPr>
        <w:t>External information is evidence, not an independent strategy. A missing optional source produces an explicit degraded state.</w:t>
      </w:r>
    </w:p>
    <w:p>
      <w:pPr>
        <w:pStyle w:val="Heading1"/>
      </w:pPr>
      <w:r>
        <w:t>28. Performance mathematics</w:t>
      </w:r>
    </w:p>
    <w:p>
      <w:pPr>
        <w:jc w:val="center"/>
      </w:pPr>
      <w:r>
        <w:rPr>
          <w:rFonts w:ascii="Cambria Math" w:hAnsi="Cambria Math"/>
          <w:sz w:val="19"/>
        </w:rPr>
        <w:t>WinRate = Wins/Trades</w:t>
      </w:r>
    </w:p>
    <w:p>
      <w:pPr>
        <w:jc w:val="center"/>
      </w:pPr>
      <w:r>
        <w:rPr>
          <w:rFonts w:ascii="Cambria Math" w:hAnsi="Cambria Math"/>
          <w:sz w:val="19"/>
        </w:rPr>
        <w:t>AvgWin = GrossWinningPnL/Wins</w:t>
      </w:r>
    </w:p>
    <w:p>
      <w:pPr>
        <w:jc w:val="center"/>
      </w:pPr>
      <w:r>
        <w:rPr>
          <w:rFonts w:ascii="Cambria Math" w:hAnsi="Cambria Math"/>
          <w:sz w:val="19"/>
        </w:rPr>
        <w:t>AvgLoss = |GrossLosingPnL|/Losses</w:t>
      </w:r>
    </w:p>
    <w:p>
      <w:pPr>
        <w:jc w:val="center"/>
      </w:pPr>
      <w:r>
        <w:rPr>
          <w:rFonts w:ascii="Cambria Math" w:hAnsi="Cambria Math"/>
          <w:sz w:val="19"/>
        </w:rPr>
        <w:t>Expectancy = WinRate×AvgWin − (1−WinRate)×AvgLoss</w:t>
      </w:r>
    </w:p>
    <w:p>
      <w:pPr>
        <w:jc w:val="center"/>
      </w:pPr>
      <w:r>
        <w:rPr>
          <w:rFonts w:ascii="Cambria Math" w:hAnsi="Cambria Math"/>
          <w:sz w:val="19"/>
        </w:rPr>
        <w:t>ProfitFactor = GrossProfit/GrossLoss</w:t>
      </w:r>
    </w:p>
    <w:p>
      <w:pPr>
        <w:jc w:val="center"/>
      </w:pPr>
      <w:r>
        <w:rPr>
          <w:rFonts w:ascii="Cambria Math" w:hAnsi="Cambria Math"/>
          <w:sz w:val="19"/>
        </w:rPr>
        <w:t>RMultiple = RealizedPnL/InitialRiskAmount</w:t>
      </w:r>
    </w:p>
    <w:p>
      <w:pPr>
        <w:jc w:val="center"/>
      </w:pPr>
      <w:r>
        <w:rPr>
          <w:rFonts w:ascii="Cambria Math" w:hAnsi="Cambria Math"/>
          <w:sz w:val="19"/>
        </w:rPr>
        <w:t>AverageR = ΣRMultiple/Trades</w:t>
      </w:r>
    </w:p>
    <w:p>
      <w:pPr>
        <w:jc w:val="center"/>
      </w:pPr>
      <w:r>
        <w:rPr>
          <w:rFonts w:ascii="Cambria Math" w:hAnsi="Cambria Math"/>
          <w:sz w:val="19"/>
        </w:rPr>
        <w:t>MaxDD = max(PeakEquity−Equity)</w:t>
      </w:r>
    </w:p>
    <w:p>
      <w:pPr>
        <w:jc w:val="center"/>
      </w:pPr>
      <w:r>
        <w:rPr>
          <w:rFonts w:ascii="Cambria Math" w:hAnsi="Cambria Math"/>
          <w:sz w:val="19"/>
        </w:rPr>
        <w:t>MaxDDPct = max((PeakEquity−Equity)/PeakEquity)×100</w:t>
      </w:r>
    </w:p>
    <w:p>
      <w:pPr>
        <w:jc w:val="center"/>
      </w:pPr>
      <w:r>
        <w:rPr>
          <w:rFonts w:ascii="Cambria Math" w:hAnsi="Cambria Math"/>
          <w:sz w:val="19"/>
        </w:rPr>
        <w:t>RecoveryFactor = NetProfit/MaxDD</w:t>
      </w:r>
    </w:p>
    <w:p>
      <w:r>
        <w:rPr>
          <w:b w:val="0"/>
          <w:i w:val="0"/>
        </w:rPr>
        <w:t>Undefined denominators are MISSING/undefined; never convert them to zero.</w:t>
      </w:r>
    </w:p>
    <w:p>
      <w:pPr>
        <w:pStyle w:val="Heading1"/>
      </w:pPr>
      <w:r>
        <w:t>29. Validation mathematics and acceptance criteria</w:t>
      </w:r>
    </w:p>
    <w:p>
      <w:r>
        <w:rPr>
          <w:b w:val="0"/>
          <w:i w:val="0"/>
        </w:rPr>
        <w:t>The baseline must be validated by chronological replay, walk-forward testing and ablation. The goal is not to prove profitability from formulas; it is to prove that the formulas are deterministic, temporally correct and economically testable.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DEBF7"/>
          </w:tcPr>
          <w:p>
            <w:r>
              <w:t>Test</w:t>
            </w:r>
          </w:p>
        </w:tc>
        <w:tc>
          <w:tcPr>
            <w:tcW w:type="dxa" w:w="5141"/>
            <w:shd w:fill="DDEBF7"/>
          </w:tcPr>
          <w:p>
            <w:r>
              <w:t>Pass condition</w:t>
            </w:r>
          </w:p>
        </w:tc>
      </w:tr>
      <w:tr>
        <w:tc>
          <w:tcPr>
            <w:tcW w:type="dxa" w:w="5141"/>
            <w:vAlign w:val="top"/>
          </w:tcPr>
          <w:p>
            <w:r>
              <w:t>Replay determinism</w:t>
            </w:r>
          </w:p>
        </w:tc>
        <w:tc>
          <w:tcPr>
            <w:tcW w:type="dxa" w:w="5141"/>
            <w:vAlign w:val="top"/>
          </w:tcPr>
          <w:p>
            <w:r>
              <w:t>Same input snapshot sequence produces byte-equivalent feature/state outputs.</w:t>
            </w:r>
          </w:p>
        </w:tc>
      </w:tr>
      <w:tr>
        <w:tc>
          <w:tcPr>
            <w:tcW w:type="dxa" w:w="5141"/>
            <w:vAlign w:val="top"/>
          </w:tcPr>
          <w:p>
            <w:r>
              <w:t>Look-ahead</w:t>
            </w:r>
          </w:p>
        </w:tc>
        <w:tc>
          <w:tcPr>
            <w:tcW w:type="dxa" w:w="5141"/>
            <w:vAlign w:val="top"/>
          </w:tcPr>
          <w:p>
            <w:r>
              <w:t>Changing future data does not change any earlier feature/event state.</w:t>
            </w:r>
          </w:p>
        </w:tc>
      </w:tr>
      <w:tr>
        <w:tc>
          <w:tcPr>
            <w:tcW w:type="dxa" w:w="5141"/>
            <w:vAlign w:val="top"/>
          </w:tcPr>
          <w:p>
            <w:r>
              <w:t>Swing confirmation</w:t>
            </w:r>
          </w:p>
        </w:tc>
        <w:tc>
          <w:tcPr>
            <w:tcW w:type="dxa" w:w="5141"/>
            <w:vAlign w:val="top"/>
          </w:tcPr>
          <w:p>
            <w:r>
              <w:t>Swing unavailable until right-side confirmation bars close.</w:t>
            </w:r>
          </w:p>
        </w:tc>
      </w:tr>
      <w:tr>
        <w:tc>
          <w:tcPr>
            <w:tcW w:type="dxa" w:w="5141"/>
            <w:vAlign w:val="top"/>
          </w:tcPr>
          <w:p>
            <w:r>
              <w:t>FVG lifecycle</w:t>
            </w:r>
          </w:p>
        </w:tc>
        <w:tc>
          <w:tcPr>
            <w:tcW w:type="dxa" w:w="5141"/>
            <w:vAlign w:val="top"/>
          </w:tcPr>
          <w:p>
            <w:r>
              <w:t>Earlier fill percentage/state never reflects later bars.</w:t>
            </w:r>
          </w:p>
        </w:tc>
      </w:tr>
      <w:tr>
        <w:tc>
          <w:tcPr>
            <w:tcW w:type="dxa" w:w="5141"/>
            <w:vAlign w:val="top"/>
          </w:tcPr>
          <w:p>
            <w:r>
              <w:t>Delta proxy</w:t>
            </w:r>
          </w:p>
        </w:tc>
        <w:tc>
          <w:tcPr>
            <w:tcW w:type="dxa" w:w="5141"/>
            <w:vAlign w:val="top"/>
          </w:tcPr>
          <w:p>
            <w:r>
              <w:t>A/B/fusion labels remain PROXY and reproduce exactly.</w:t>
            </w:r>
          </w:p>
        </w:tc>
      </w:tr>
      <w:tr>
        <w:tc>
          <w:tcPr>
            <w:tcW w:type="dxa" w:w="5141"/>
            <w:vAlign w:val="top"/>
          </w:tcPr>
          <w:p>
            <w:r>
              <w:t>Risk sizing</w:t>
            </w:r>
          </w:p>
        </w:tc>
        <w:tc>
          <w:tcPr>
            <w:tcW w:type="dxa" w:w="5141"/>
            <w:vAlign w:val="top"/>
          </w:tcPr>
          <w:p>
            <w:r>
              <w:t>Calculated risk never exceeds configured risk after broker rounding.</w:t>
            </w:r>
          </w:p>
        </w:tc>
      </w:tr>
      <w:tr>
        <w:tc>
          <w:tcPr>
            <w:tcW w:type="dxa" w:w="5141"/>
            <w:vAlign w:val="top"/>
          </w:tcPr>
          <w:p>
            <w:r>
              <w:t>Daily loss</w:t>
            </w:r>
          </w:p>
        </w:tc>
        <w:tc>
          <w:tcPr>
            <w:tcW w:type="dxa" w:w="5141"/>
            <w:vAlign w:val="top"/>
          </w:tcPr>
          <w:p>
            <w:r>
              <w:t>2% hard veto cannot be bypassed by confidence or external data.</w:t>
            </w:r>
          </w:p>
        </w:tc>
      </w:tr>
      <w:tr>
        <w:tc>
          <w:tcPr>
            <w:tcW w:type="dxa" w:w="5141"/>
            <w:vAlign w:val="top"/>
          </w:tcPr>
          <w:p>
            <w:r>
              <w:t>Total drawdown</w:t>
            </w:r>
          </w:p>
        </w:tc>
        <w:tc>
          <w:tcPr>
            <w:tcW w:type="dxa" w:w="5141"/>
            <w:vAlign w:val="top"/>
          </w:tcPr>
          <w:p>
            <w:r>
              <w:t>5% hard veto cannot be bypassed.</w:t>
            </w:r>
          </w:p>
        </w:tc>
      </w:tr>
      <w:tr>
        <w:tc>
          <w:tcPr>
            <w:tcW w:type="dxa" w:w="5141"/>
            <w:vAlign w:val="top"/>
          </w:tcPr>
          <w:p>
            <w:r>
              <w:t>Walk-forward</w:t>
            </w:r>
          </w:p>
        </w:tc>
        <w:tc>
          <w:tcPr>
            <w:tcW w:type="dxa" w:w="5141"/>
            <w:vAlign w:val="top"/>
          </w:tcPr>
          <w:p>
            <w:r>
              <w:t>Optimization and test windows are chronologically separated.</w:t>
            </w:r>
          </w:p>
        </w:tc>
      </w:tr>
      <w:tr>
        <w:tc>
          <w:tcPr>
            <w:tcW w:type="dxa" w:w="5141"/>
            <w:vAlign w:val="top"/>
          </w:tcPr>
          <w:p>
            <w:r>
              <w:t>External data</w:t>
            </w:r>
          </w:p>
        </w:tc>
        <w:tc>
          <w:tcPr>
            <w:tcW w:type="dxa" w:w="5141"/>
            <w:vAlign w:val="top"/>
          </w:tcPr>
          <w:p>
            <w:r>
              <w:t>Publication/release timestamps gate historical availability.</w:t>
            </w:r>
          </w:p>
        </w:tc>
      </w:tr>
      <w:tr>
        <w:tc>
          <w:tcPr>
            <w:tcW w:type="dxa" w:w="5141"/>
            <w:vAlign w:val="top"/>
          </w:tcPr>
          <w:p>
            <w:r>
              <w:t>Python/MQL5 parity</w:t>
            </w:r>
          </w:p>
        </w:tc>
        <w:tc>
          <w:tcPr>
            <w:tcW w:type="dxa" w:w="5141"/>
            <w:vAlign w:val="top"/>
          </w:tcPr>
          <w:p>
            <w:r>
              <w:t>Shared inputs produce equivalent decision vocabulary and values within defined numeric tolerance.</w:t>
            </w:r>
          </w:p>
        </w:tc>
      </w:tr>
    </w:tbl>
    <w:p/>
    <w:p>
      <w:pPr>
        <w:pStyle w:val="Heading1"/>
      </w:pPr>
      <w:r>
        <w:t>30. Final formula registry</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DDEBF7"/>
          </w:tcPr>
          <w:p>
            <w:r>
              <w:t>Area</w:t>
            </w:r>
          </w:p>
        </w:tc>
        <w:tc>
          <w:tcPr>
            <w:tcW w:type="dxa" w:w="3427"/>
            <w:shd w:fill="DDEBF7"/>
          </w:tcPr>
          <w:p>
            <w:r>
              <w:t>Final baseline</w:t>
            </w:r>
          </w:p>
        </w:tc>
        <w:tc>
          <w:tcPr>
            <w:tcW w:type="dxa" w:w="3427"/>
            <w:shd w:fill="DDEBF7"/>
          </w:tcPr>
          <w:p>
            <w:r>
              <w:t>Status</w:t>
            </w:r>
          </w:p>
        </w:tc>
      </w:tr>
      <w:tr>
        <w:tc>
          <w:tcPr>
            <w:tcW w:type="dxa" w:w="3427"/>
            <w:vAlign w:val="top"/>
          </w:tcPr>
          <w:p>
            <w:r>
              <w:t>ATR</w:t>
            </w:r>
          </w:p>
        </w:tc>
        <w:tc>
          <w:tcPr>
            <w:tcW w:type="dxa" w:w="3427"/>
            <w:vAlign w:val="top"/>
          </w:tcPr>
          <w:p>
            <w:r>
              <w:t>14-period SMA of completed-bar TR</w:t>
            </w:r>
          </w:p>
        </w:tc>
        <w:tc>
          <w:tcPr>
            <w:tcW w:type="dxa" w:w="3427"/>
            <w:vAlign w:val="top"/>
          </w:tcPr>
          <w:p>
            <w:r>
              <w:t>FINAL BASELINE</w:t>
            </w:r>
          </w:p>
        </w:tc>
      </w:tr>
      <w:tr>
        <w:tc>
          <w:tcPr>
            <w:tcW w:type="dxa" w:w="3427"/>
            <w:vAlign w:val="top"/>
          </w:tcPr>
          <w:p>
            <w:r>
              <w:t>VWAP</w:t>
            </w:r>
          </w:p>
        </w:tc>
        <w:tc>
          <w:tcPr>
            <w:tcW w:type="dxa" w:w="3427"/>
            <w:vAlign w:val="top"/>
          </w:tcPr>
          <w:p>
            <w:r>
              <w:t>Session HLC3×MT5 tick volume</w:t>
            </w:r>
          </w:p>
        </w:tc>
        <w:tc>
          <w:tcPr>
            <w:tcW w:type="dxa" w:w="3427"/>
            <w:vAlign w:val="top"/>
          </w:tcPr>
          <w:p>
            <w:r>
              <w:t>FINAL BASELINE</w:t>
            </w:r>
          </w:p>
        </w:tc>
      </w:tr>
      <w:tr>
        <w:tc>
          <w:tcPr>
            <w:tcW w:type="dxa" w:w="3427"/>
            <w:vAlign w:val="top"/>
          </w:tcPr>
          <w:p>
            <w:r>
              <w:t>Value area</w:t>
            </w:r>
          </w:p>
        </w:tc>
        <w:tc>
          <w:tcPr>
            <w:tcW w:type="dxa" w:w="3427"/>
            <w:vAlign w:val="top"/>
          </w:tcPr>
          <w:p>
            <w:r>
              <w:t>70% volume, POC-expansion algorithm</w:t>
            </w:r>
          </w:p>
        </w:tc>
        <w:tc>
          <w:tcPr>
            <w:tcW w:type="dxa" w:w="3427"/>
            <w:vAlign w:val="top"/>
          </w:tcPr>
          <w:p>
            <w:r>
              <w:t>FINAL BASELINE</w:t>
            </w:r>
          </w:p>
        </w:tc>
      </w:tr>
      <w:tr>
        <w:tc>
          <w:tcPr>
            <w:tcW w:type="dxa" w:w="3427"/>
            <w:vAlign w:val="top"/>
          </w:tcPr>
          <w:p>
            <w:r>
              <w:t>Swings</w:t>
            </w:r>
          </w:p>
        </w:tc>
        <w:tc>
          <w:tcPr>
            <w:tcW w:type="dxa" w:w="3427"/>
            <w:vAlign w:val="top"/>
          </w:tcPr>
          <w:p>
            <w:r>
              <w:t>2-left/2-right confirmed fractal</w:t>
            </w:r>
          </w:p>
        </w:tc>
        <w:tc>
          <w:tcPr>
            <w:tcW w:type="dxa" w:w="3427"/>
            <w:vAlign w:val="top"/>
          </w:tcPr>
          <w:p>
            <w:r>
              <w:t>FINAL BASELINE</w:t>
            </w:r>
          </w:p>
        </w:tc>
      </w:tr>
      <w:tr>
        <w:tc>
          <w:tcPr>
            <w:tcW w:type="dxa" w:w="3427"/>
            <w:vAlign w:val="top"/>
          </w:tcPr>
          <w:p>
            <w:r>
              <w:t>BOS</w:t>
            </w:r>
          </w:p>
        </w:tc>
        <w:tc>
          <w:tcPr>
            <w:tcW w:type="dxa" w:w="3427"/>
            <w:vAlign w:val="top"/>
          </w:tcPr>
          <w:p>
            <w:r>
              <w:t>Close beyond confirmed swing + 0.05 ATR</w:t>
            </w:r>
          </w:p>
        </w:tc>
        <w:tc>
          <w:tcPr>
            <w:tcW w:type="dxa" w:w="3427"/>
            <w:vAlign w:val="top"/>
          </w:tcPr>
          <w:p>
            <w:r>
              <w:t>FINAL BASELINE</w:t>
            </w:r>
          </w:p>
        </w:tc>
      </w:tr>
      <w:tr>
        <w:tc>
          <w:tcPr>
            <w:tcW w:type="dxa" w:w="3427"/>
            <w:vAlign w:val="top"/>
          </w:tcPr>
          <w:p>
            <w:r>
              <w:t>CHOCH</w:t>
            </w:r>
          </w:p>
        </w:tc>
        <w:tc>
          <w:tcPr>
            <w:tcW w:type="dxa" w:w="3427"/>
            <w:vAlign w:val="top"/>
          </w:tcPr>
          <w:p>
            <w:r>
              <w:t>First BOS against established direction</w:t>
            </w:r>
          </w:p>
        </w:tc>
        <w:tc>
          <w:tcPr>
            <w:tcW w:type="dxa" w:w="3427"/>
            <w:vAlign w:val="top"/>
          </w:tcPr>
          <w:p>
            <w:r>
              <w:t>FINAL BASELINE</w:t>
            </w:r>
          </w:p>
        </w:tc>
      </w:tr>
      <w:tr>
        <w:tc>
          <w:tcPr>
            <w:tcW w:type="dxa" w:w="3427"/>
            <w:vAlign w:val="top"/>
          </w:tcPr>
          <w:p>
            <w:r>
              <w:t>Sweep</w:t>
            </w:r>
          </w:p>
        </w:tc>
        <w:tc>
          <w:tcPr>
            <w:tcW w:type="dxa" w:w="3427"/>
            <w:vAlign w:val="top"/>
          </w:tcPr>
          <w:p>
            <w:r>
              <w:t>0.05 ATR penetration + rejection within 1 next M5 bar</w:t>
            </w:r>
          </w:p>
        </w:tc>
        <w:tc>
          <w:tcPr>
            <w:tcW w:type="dxa" w:w="3427"/>
            <w:vAlign w:val="top"/>
          </w:tcPr>
          <w:p>
            <w:r>
              <w:t>FINAL BASELINE</w:t>
            </w:r>
          </w:p>
        </w:tc>
      </w:tr>
      <w:tr>
        <w:tc>
          <w:tcPr>
            <w:tcW w:type="dxa" w:w="3427"/>
            <w:vAlign w:val="top"/>
          </w:tcPr>
          <w:p>
            <w:r>
              <w:t>Displacement</w:t>
            </w:r>
          </w:p>
        </w:tc>
        <w:tc>
          <w:tcPr>
            <w:tcW w:type="dxa" w:w="3427"/>
            <w:vAlign w:val="top"/>
          </w:tcPr>
          <w:p>
            <w:r>
              <w:t>Body/Range≥0.65 and Body/ATR≥1.0</w:t>
            </w:r>
          </w:p>
        </w:tc>
        <w:tc>
          <w:tcPr>
            <w:tcW w:type="dxa" w:w="3427"/>
            <w:vAlign w:val="top"/>
          </w:tcPr>
          <w:p>
            <w:r>
              <w:t>FINAL BASELINE</w:t>
            </w:r>
          </w:p>
        </w:tc>
      </w:tr>
      <w:tr>
        <w:tc>
          <w:tcPr>
            <w:tcW w:type="dxa" w:w="3427"/>
            <w:vAlign w:val="top"/>
          </w:tcPr>
          <w:p>
            <w:r>
              <w:t>FVG</w:t>
            </w:r>
          </w:p>
        </w:tc>
        <w:tc>
          <w:tcPr>
            <w:tcW w:type="dxa" w:w="3427"/>
            <w:vAlign w:val="top"/>
          </w:tcPr>
          <w:p>
            <w:r>
              <w:t>3-bar gap, minimum width 0.10 ATR</w:t>
            </w:r>
          </w:p>
        </w:tc>
        <w:tc>
          <w:tcPr>
            <w:tcW w:type="dxa" w:w="3427"/>
            <w:vAlign w:val="top"/>
          </w:tcPr>
          <w:p>
            <w:r>
              <w:t>FINAL BASELINE</w:t>
            </w:r>
          </w:p>
        </w:tc>
      </w:tr>
      <w:tr>
        <w:tc>
          <w:tcPr>
            <w:tcW w:type="dxa" w:w="3427"/>
            <w:vAlign w:val="top"/>
          </w:tcPr>
          <w:p>
            <w:r>
              <w:t>FVG mitigation</w:t>
            </w:r>
          </w:p>
        </w:tc>
        <w:tc>
          <w:tcPr>
            <w:tcW w:type="dxa" w:w="3427"/>
            <w:vAlign w:val="top"/>
          </w:tcPr>
          <w:p>
            <w:r>
              <w:t>50% fill</w:t>
            </w:r>
          </w:p>
        </w:tc>
        <w:tc>
          <w:tcPr>
            <w:tcW w:type="dxa" w:w="3427"/>
            <w:vAlign w:val="top"/>
          </w:tcPr>
          <w:p>
            <w:r>
              <w:t>FINAL BASELINE</w:t>
            </w:r>
          </w:p>
        </w:tc>
      </w:tr>
      <w:tr>
        <w:tc>
          <w:tcPr>
            <w:tcW w:type="dxa" w:w="3427"/>
            <w:vAlign w:val="top"/>
          </w:tcPr>
          <w:p>
            <w:r>
              <w:t>Delta A</w:t>
            </w:r>
          </w:p>
        </w:tc>
        <w:tc>
          <w:tcPr>
            <w:tcW w:type="dxa" w:w="3427"/>
            <w:vAlign w:val="top"/>
          </w:tcPr>
          <w:p>
            <w:r>
              <w:t>Signed tick-price changes</w:t>
            </w:r>
          </w:p>
        </w:tc>
        <w:tc>
          <w:tcPr>
            <w:tcW w:type="dxa" w:w="3427"/>
            <w:vAlign w:val="top"/>
          </w:tcPr>
          <w:p>
            <w:r>
              <w:t>FINAL BASELINE PROXY</w:t>
            </w:r>
          </w:p>
        </w:tc>
      </w:tr>
      <w:tr>
        <w:tc>
          <w:tcPr>
            <w:tcW w:type="dxa" w:w="3427"/>
            <w:vAlign w:val="top"/>
          </w:tcPr>
          <w:p>
            <w:r>
              <w:t>Delta B</w:t>
            </w:r>
          </w:p>
        </w:tc>
        <w:tc>
          <w:tcPr>
            <w:tcW w:type="dxa" w:w="3427"/>
            <w:vAlign w:val="top"/>
          </w:tcPr>
          <w:p>
            <w:r>
              <w:t>CLV×tick volume</w:t>
            </w:r>
          </w:p>
        </w:tc>
        <w:tc>
          <w:tcPr>
            <w:tcW w:type="dxa" w:w="3427"/>
            <w:vAlign w:val="top"/>
          </w:tcPr>
          <w:p>
            <w:r>
              <w:t>FINAL BASELINE PROXY</w:t>
            </w:r>
          </w:p>
        </w:tc>
      </w:tr>
      <w:tr>
        <w:tc>
          <w:tcPr>
            <w:tcW w:type="dxa" w:w="3427"/>
            <w:vAlign w:val="top"/>
          </w:tcPr>
          <w:p>
            <w:r>
              <w:t>Fusion</w:t>
            </w:r>
          </w:p>
        </w:tc>
        <w:tc>
          <w:tcPr>
            <w:tcW w:type="dxa" w:w="3427"/>
            <w:vAlign w:val="top"/>
          </w:tcPr>
          <w:p>
            <w:r>
              <w:t>50/50 clipped 20-bar z-scores</w:t>
            </w:r>
          </w:p>
        </w:tc>
        <w:tc>
          <w:tcPr>
            <w:tcW w:type="dxa" w:w="3427"/>
            <w:vAlign w:val="top"/>
          </w:tcPr>
          <w:p>
            <w:r>
              <w:t>FINAL BASELINE PROXY</w:t>
            </w:r>
          </w:p>
        </w:tc>
      </w:tr>
      <w:tr>
        <w:tc>
          <w:tcPr>
            <w:tcW w:type="dxa" w:w="3427"/>
            <w:vAlign w:val="top"/>
          </w:tcPr>
          <w:p>
            <w:r>
              <w:t>Pressure</w:t>
            </w:r>
          </w:p>
        </w:tc>
        <w:tc>
          <w:tcPr>
            <w:tcW w:type="dxa" w:w="3427"/>
            <w:vAlign w:val="top"/>
          </w:tcPr>
          <w:p>
            <w:r>
              <w:t>±0.25 state; 0.60 surge</w:t>
            </w:r>
          </w:p>
        </w:tc>
        <w:tc>
          <w:tcPr>
            <w:tcW w:type="dxa" w:w="3427"/>
            <w:vAlign w:val="top"/>
          </w:tcPr>
          <w:p>
            <w:r>
              <w:t>FINAL BASELINE</w:t>
            </w:r>
          </w:p>
        </w:tc>
      </w:tr>
      <w:tr>
        <w:tc>
          <w:tcPr>
            <w:tcW w:type="dxa" w:w="3427"/>
            <w:vAlign w:val="top"/>
          </w:tcPr>
          <w:p>
            <w:r>
              <w:t>Divergence</w:t>
            </w:r>
          </w:p>
        </w:tc>
        <w:tc>
          <w:tcPr>
            <w:tcW w:type="dxa" w:w="3427"/>
            <w:vAlign w:val="top"/>
          </w:tcPr>
          <w:p>
            <w:r>
              <w:t>Confirmed swing price vs fusion non-confirmation</w:t>
            </w:r>
          </w:p>
        </w:tc>
        <w:tc>
          <w:tcPr>
            <w:tcW w:type="dxa" w:w="3427"/>
            <w:vAlign w:val="top"/>
          </w:tcPr>
          <w:p>
            <w:r>
              <w:t>FINAL BASELINE</w:t>
            </w:r>
          </w:p>
        </w:tc>
      </w:tr>
      <w:tr>
        <w:tc>
          <w:tcPr>
            <w:tcW w:type="dxa" w:w="3427"/>
            <w:vAlign w:val="top"/>
          </w:tcPr>
          <w:p>
            <w:r>
              <w:t>Absorption</w:t>
            </w:r>
          </w:p>
        </w:tc>
        <w:tc>
          <w:tcPr>
            <w:tcW w:type="dxa" w:w="3427"/>
            <w:vAlign w:val="top"/>
          </w:tcPr>
          <w:p>
            <w:r>
              <w:t>Strong proxy pressure + rejection + weak body</w:t>
            </w:r>
          </w:p>
        </w:tc>
        <w:tc>
          <w:tcPr>
            <w:tcW w:type="dxa" w:w="3427"/>
            <w:vAlign w:val="top"/>
          </w:tcPr>
          <w:p>
            <w:r>
              <w:t>FINAL BASELINE PROXY</w:t>
            </w:r>
          </w:p>
        </w:tc>
      </w:tr>
      <w:tr>
        <w:tc>
          <w:tcPr>
            <w:tcW w:type="dxa" w:w="3427"/>
            <w:vAlign w:val="top"/>
          </w:tcPr>
          <w:p>
            <w:r>
              <w:t>Continuation</w:t>
            </w:r>
          </w:p>
        </w:tc>
        <w:tc>
          <w:tcPr>
            <w:tcW w:type="dxa" w:w="3427"/>
            <w:vAlign w:val="top"/>
          </w:tcPr>
          <w:p>
            <w:r>
              <w:t>Weighted structure/displacement/value/pressure/volatility</w:t>
            </w:r>
          </w:p>
        </w:tc>
        <w:tc>
          <w:tcPr>
            <w:tcW w:type="dxa" w:w="3427"/>
            <w:vAlign w:val="top"/>
          </w:tcPr>
          <w:p>
            <w:r>
              <w:t>FINAL BASELINE</w:t>
            </w:r>
          </w:p>
        </w:tc>
      </w:tr>
      <w:tr>
        <w:tc>
          <w:tcPr>
            <w:tcW w:type="dxa" w:w="3427"/>
            <w:vAlign w:val="top"/>
          </w:tcPr>
          <w:p>
            <w:r>
              <w:t>Mean reversion</w:t>
            </w:r>
          </w:p>
        </w:tc>
        <w:tc>
          <w:tcPr>
            <w:tcW w:type="dxa" w:w="3427"/>
            <w:vAlign w:val="top"/>
          </w:tcPr>
          <w:p>
            <w:r>
              <w:t>Weighted stretch/rejection/divergence/return-value</w:t>
            </w:r>
          </w:p>
        </w:tc>
        <w:tc>
          <w:tcPr>
            <w:tcW w:type="dxa" w:w="3427"/>
            <w:vAlign w:val="top"/>
          </w:tcPr>
          <w:p>
            <w:r>
              <w:t>FINAL BASELINE</w:t>
            </w:r>
          </w:p>
        </w:tc>
      </w:tr>
      <w:tr>
        <w:tc>
          <w:tcPr>
            <w:tcW w:type="dxa" w:w="3427"/>
            <w:vAlign w:val="top"/>
          </w:tcPr>
          <w:p>
            <w:r>
              <w:t>Trade threshold</w:t>
            </w:r>
          </w:p>
        </w:tc>
        <w:tc>
          <w:tcPr>
            <w:tcW w:type="dxa" w:w="3427"/>
            <w:vAlign w:val="top"/>
          </w:tcPr>
          <w:p>
            <w:r>
              <w:t>Score≥0.65 and margin≥0.15</w:t>
            </w:r>
          </w:p>
        </w:tc>
        <w:tc>
          <w:tcPr>
            <w:tcW w:type="dxa" w:w="3427"/>
            <w:vAlign w:val="top"/>
          </w:tcPr>
          <w:p>
            <w:r>
              <w:t>FINAL BASELINE</w:t>
            </w:r>
          </w:p>
        </w:tc>
      </w:tr>
      <w:tr>
        <w:tc>
          <w:tcPr>
            <w:tcW w:type="dxa" w:w="3427"/>
            <w:vAlign w:val="top"/>
          </w:tcPr>
          <w:p>
            <w:r>
              <w:t>Regime</w:t>
            </w:r>
          </w:p>
        </w:tc>
        <w:tc>
          <w:tcPr>
            <w:tcW w:type="dxa" w:w="3427"/>
            <w:vAlign w:val="top"/>
          </w:tcPr>
          <w:p>
            <w:r>
              <w:t>0.60 threshold + 2-bar persistence + 0.10 hysteresis</w:t>
            </w:r>
          </w:p>
        </w:tc>
        <w:tc>
          <w:tcPr>
            <w:tcW w:type="dxa" w:w="3427"/>
            <w:vAlign w:val="top"/>
          </w:tcPr>
          <w:p>
            <w:r>
              <w:t>FINAL BASELINE</w:t>
            </w:r>
          </w:p>
        </w:tc>
      </w:tr>
      <w:tr>
        <w:tc>
          <w:tcPr>
            <w:tcW w:type="dxa" w:w="3427"/>
            <w:vAlign w:val="top"/>
          </w:tcPr>
          <w:p>
            <w:r>
              <w:t>News</w:t>
            </w:r>
          </w:p>
        </w:tc>
        <w:tc>
          <w:tcPr>
            <w:tcW w:type="dxa" w:w="3427"/>
            <w:vAlign w:val="top"/>
          </w:tcPr>
          <w:p>
            <w:r>
              <w:t>Time-to-event, surprise, 3-bar reaction</w:t>
            </w:r>
          </w:p>
        </w:tc>
        <w:tc>
          <w:tcPr>
            <w:tcW w:type="dxa" w:w="3427"/>
            <w:vAlign w:val="top"/>
          </w:tcPr>
          <w:p>
            <w:r>
              <w:t>FINAL BASELINE</w:t>
            </w:r>
          </w:p>
        </w:tc>
      </w:tr>
      <w:tr>
        <w:tc>
          <w:tcPr>
            <w:tcW w:type="dxa" w:w="3427"/>
            <w:vAlign w:val="top"/>
          </w:tcPr>
          <w:p>
            <w:r>
              <w:t>Options</w:t>
            </w:r>
          </w:p>
        </w:tc>
        <w:tc>
          <w:tcPr>
            <w:tcW w:type="dxa" w:w="3427"/>
            <w:vAlign w:val="top"/>
          </w:tcPr>
          <w:p>
            <w:r>
              <w:t>Basis mapping + OI concentration; ±0.10 cap</w:t>
            </w:r>
          </w:p>
        </w:tc>
        <w:tc>
          <w:tcPr>
            <w:tcW w:type="dxa" w:w="3427"/>
            <w:vAlign w:val="top"/>
          </w:tcPr>
          <w:p>
            <w:r>
              <w:t>FINAL BASELINE CONTEXT</w:t>
            </w:r>
          </w:p>
        </w:tc>
      </w:tr>
      <w:tr>
        <w:tc>
          <w:tcPr>
            <w:tcW w:type="dxa" w:w="3427"/>
            <w:vAlign w:val="top"/>
          </w:tcPr>
          <w:p>
            <w:r>
              <w:t>CFTC</w:t>
            </w:r>
          </w:p>
        </w:tc>
        <w:tc>
          <w:tcPr>
            <w:tcW w:type="dxa" w:w="3427"/>
            <w:vAlign w:val="top"/>
          </w:tcPr>
          <w:p>
            <w:r>
              <w:t>Net/changes/156-release percentile; ±0.05 cap</w:t>
            </w:r>
          </w:p>
        </w:tc>
        <w:tc>
          <w:tcPr>
            <w:tcW w:type="dxa" w:w="3427"/>
            <w:vAlign w:val="top"/>
          </w:tcPr>
          <w:p>
            <w:r>
              <w:t>FINAL BASELINE CONTEXT</w:t>
            </w:r>
          </w:p>
        </w:tc>
      </w:tr>
      <w:tr>
        <w:tc>
          <w:tcPr>
            <w:tcW w:type="dxa" w:w="3427"/>
            <w:vAlign w:val="top"/>
          </w:tcPr>
          <w:p>
            <w:r>
              <w:t>Risk/trade</w:t>
            </w:r>
          </w:p>
        </w:tc>
        <w:tc>
          <w:tcPr>
            <w:tcW w:type="dxa" w:w="3427"/>
            <w:vAlign w:val="top"/>
          </w:tcPr>
          <w:p>
            <w:r>
              <w:t>0.5%</w:t>
            </w:r>
          </w:p>
        </w:tc>
        <w:tc>
          <w:tcPr>
            <w:tcW w:type="dxa" w:w="3427"/>
            <w:vAlign w:val="top"/>
          </w:tcPr>
          <w:p>
            <w:r>
              <w:t>SOURCE STARTING PARAMETER</w:t>
            </w:r>
          </w:p>
        </w:tc>
      </w:tr>
      <w:tr>
        <w:tc>
          <w:tcPr>
            <w:tcW w:type="dxa" w:w="3427"/>
            <w:vAlign w:val="top"/>
          </w:tcPr>
          <w:p>
            <w:r>
              <w:t>Daily loss</w:t>
            </w:r>
          </w:p>
        </w:tc>
        <w:tc>
          <w:tcPr>
            <w:tcW w:type="dxa" w:w="3427"/>
            <w:vAlign w:val="top"/>
          </w:tcPr>
          <w:p>
            <w:r>
              <w:t>2% hard veto</w:t>
            </w:r>
          </w:p>
        </w:tc>
        <w:tc>
          <w:tcPr>
            <w:tcW w:type="dxa" w:w="3427"/>
            <w:vAlign w:val="top"/>
          </w:tcPr>
          <w:p>
            <w:r>
              <w:t>SOURCE STARTING PARAMETER</w:t>
            </w:r>
          </w:p>
        </w:tc>
      </w:tr>
      <w:tr>
        <w:tc>
          <w:tcPr>
            <w:tcW w:type="dxa" w:w="3427"/>
            <w:vAlign w:val="top"/>
          </w:tcPr>
          <w:p>
            <w:r>
              <w:t>Total drawdown</w:t>
            </w:r>
          </w:p>
        </w:tc>
        <w:tc>
          <w:tcPr>
            <w:tcW w:type="dxa" w:w="3427"/>
            <w:vAlign w:val="top"/>
          </w:tcPr>
          <w:p>
            <w:r>
              <w:t>5% hard veto</w:t>
            </w:r>
          </w:p>
        </w:tc>
        <w:tc>
          <w:tcPr>
            <w:tcW w:type="dxa" w:w="3427"/>
            <w:vAlign w:val="top"/>
          </w:tcPr>
          <w:p>
            <w:r>
              <w:t>SOURCE STARTING PARAMETER</w:t>
            </w:r>
          </w:p>
        </w:tc>
      </w:tr>
      <w:tr>
        <w:tc>
          <w:tcPr>
            <w:tcW w:type="dxa" w:w="3427"/>
            <w:vAlign w:val="top"/>
          </w:tcPr>
          <w:p>
            <w:r>
              <w:t>Partial</w:t>
            </w:r>
          </w:p>
        </w:tc>
        <w:tc>
          <w:tcPr>
            <w:tcW w:type="dxa" w:w="3427"/>
            <w:vAlign w:val="top"/>
          </w:tcPr>
          <w:p>
            <w:r>
              <w:t>50% at 2R</w:t>
            </w:r>
          </w:p>
        </w:tc>
        <w:tc>
          <w:tcPr>
            <w:tcW w:type="dxa" w:w="3427"/>
            <w:vAlign w:val="top"/>
          </w:tcPr>
          <w:p>
            <w:r>
              <w:t>FINAL BASELINE RESEARCH PARAMETER</w:t>
            </w:r>
          </w:p>
        </w:tc>
      </w:tr>
      <w:tr>
        <w:tc>
          <w:tcPr>
            <w:tcW w:type="dxa" w:w="3427"/>
            <w:vAlign w:val="top"/>
          </w:tcPr>
          <w:p>
            <w:r>
              <w:t>Trailing</w:t>
            </w:r>
          </w:p>
        </w:tc>
        <w:tc>
          <w:tcPr>
            <w:tcW w:type="dxa" w:w="3427"/>
            <w:vAlign w:val="top"/>
          </w:tcPr>
          <w:p>
            <w:r>
              <w:t>1.5 ATR after +1R</w:t>
            </w:r>
          </w:p>
        </w:tc>
        <w:tc>
          <w:tcPr>
            <w:tcW w:type="dxa" w:w="3427"/>
            <w:vAlign w:val="top"/>
          </w:tcPr>
          <w:p>
            <w:r>
              <w:t>FINAL BASELINE RESEARCH PARAMETER</w:t>
            </w:r>
          </w:p>
        </w:tc>
      </w:tr>
    </w:tbl>
    <w:p/>
    <w:p>
      <w:pPr>
        <w:pStyle w:val="Heading1"/>
      </w:pPr>
      <w:r>
        <w:t>31. What this resolves — and what it deliberately does not claim</w:t>
      </w:r>
    </w:p>
    <w:p>
      <w:r>
        <w:rPr>
          <w:b w:val="0"/>
          <w:i w:val="0"/>
        </w:rPr>
        <w:t>This version resolves the previously open mathematical gaps by selecting one deterministic baseline for engineering. That includes explicit periods, thresholds, weights, confirmation windows, value-area construction, delta normalization, scoring, regime transitions, risk sizing, and external-data influence caps.</w:t>
      </w:r>
    </w:p>
    <w:p>
      <w:r>
        <w:rPr>
          <w:b w:val="0"/>
          <w:i w:val="0"/>
        </w:rPr>
        <w:t>It deliberately does not claim that these constants are optimal. They are the initial deterministic research baseline. Optimization must occur only after feature correctness and replay integrity are proven. The source architecture explicitly places baseline rules before statistical validation and ML.</w:t>
      </w:r>
    </w:p>
    <w:p>
      <w:r>
        <w:rPr>
          <w:b w:val="0"/>
          <w:i w:val="0"/>
        </w:rPr>
        <w:t>It also deliberately does not manufacture institutional order-book information. Proxy delta remains proxy delta; options/dealer positioning remains contextual unless a properly sourced calculation is supplied; and external-data failures degrade the state rather than invent values.</w:t>
      </w:r>
    </w:p>
    <w:p>
      <w:pPr>
        <w:pStyle w:val="Heading1"/>
      </w:pPr>
      <w:r>
        <w:t>32. Engineering handoff — non-negotiable implementation rules</w:t>
      </w:r>
    </w:p>
    <w:p>
      <w:r>
        <w:rPr>
          <w:b w:val="0"/>
          <w:i w:val="0"/>
        </w:rPr>
        <w:t>• Implement these formulas exactly before optimization.</w:t>
      </w:r>
    </w:p>
    <w:p>
      <w:r>
        <w:rPr>
          <w:b w:val="0"/>
          <w:i w:val="0"/>
        </w:rPr>
        <w:t>• Version every feature formula and configuration set.</w:t>
      </w:r>
    </w:p>
    <w:p>
      <w:r>
        <w:rPr>
          <w:b w:val="0"/>
          <w:i w:val="0"/>
        </w:rPr>
        <w:t>• Store source timestamp and availability timestamp.</w:t>
      </w:r>
    </w:p>
    <w:p>
      <w:r>
        <w:rPr>
          <w:b w:val="0"/>
          <w:i w:val="0"/>
        </w:rPr>
        <w:t>• Use only completed data where the formula says completed; never substitute final future values.</w:t>
      </w:r>
    </w:p>
    <w:p>
      <w:r>
        <w:rPr>
          <w:b w:val="0"/>
          <w:i w:val="0"/>
        </w:rPr>
        <w:t>• Keep lifecycle state immutable with respect to historical decision timestamps.</w:t>
      </w:r>
    </w:p>
    <w:p>
      <w:r>
        <w:rPr>
          <w:b w:val="0"/>
          <w:i w:val="0"/>
        </w:rPr>
        <w:t>• Python computes/researches; MQL5 validates broker conditions, applies hard-risk vetoes and executes.</w:t>
      </w:r>
    </w:p>
    <w:p>
      <w:r>
        <w:rPr>
          <w:b w:val="0"/>
          <w:i w:val="0"/>
        </w:rPr>
        <w:t>• Never let an ML score bypass the deterministic gate or hard-risk controls.</w:t>
      </w:r>
    </w:p>
    <w:p>
      <w:r>
        <w:rPr>
          <w:b w:val="0"/>
          <w:i w:val="0"/>
        </w:rPr>
        <w:t>• Never relabel retail delta proxies as true exchange delta.</w:t>
      </w:r>
    </w:p>
    <w:p>
      <w:r>
        <w:rPr>
          <w:b w:val="0"/>
          <w:i w:val="0"/>
        </w:rPr>
        <w:t>• Reject trades when broker tick size/tick value/volume step or required feature inputs are invalid.</w:t>
      </w:r>
    </w:p>
    <w:p>
      <w:r>
        <w:rPr>
          <w:b w:val="0"/>
          <w:i w:val="0"/>
        </w:rPr>
        <w:t>• Every decision must record the formula/configuration version that generated it.</w:t>
      </w:r>
    </w:p>
    <w:p>
      <w:pPr>
        <w:pStyle w:val="Heading1"/>
      </w:pPr>
      <w:r>
        <w:t>33. Source traceability</w:t>
      </w:r>
    </w:p>
    <w:p>
      <w:r>
        <w:rPr>
          <w:b w:val="0"/>
          <w:i w:val="0"/>
        </w:rPr>
        <w:t>Primary source: AlgoMind_Project_Foundation_Agenda_Detailed_Revised_CFTC.docx. It establishes the event-driven architecture, VWAP/value requirements, retail delta proxy modes, liquidity/SMC context, two-hypothesis framework, regime states, risk starting parameters, CFTC timing requirement, deterministic replay and the explicit task to write mathematical definitions.</w:t>
      </w:r>
    </w:p>
    <w:p>
      <w:r>
        <w:rPr>
          <w:b w:val="0"/>
          <w:i w:val="0"/>
        </w:rPr>
        <w:t>Supporting source: AlgoMind_Project_Foundation_Agenda_Detailed.docx. It establishes the original feature/event inventory, historical replay architecture, Python/MQL5 division of labour and the requirement that future information never become a feature.</w:t>
      </w:r>
    </w:p>
    <w:p>
      <w:r>
        <w:rPr>
          <w:b w:val="0"/>
          <w:i w:val="0"/>
        </w:rPr>
        <w:t>Supporting source: Pizzo_FX_Options_Dealer_Positioning_Personal_Study_Guide.docx. It supports the GC-to-spot basis mapping and explicitly distinguishes reconstructed dealer-positioning mathematics from source-supported calculations.</w:t>
      </w:r>
    </w:p>
    <w:p>
      <w:r>
        <w:rPr>
          <w:b w:val="0"/>
          <w:i w:val="0"/>
        </w:rPr>
        <w:t>Supporting source: AlgoMind_Reversion_Testing.xlsx. It records existing reversion-test parameter families and sensitivity work; it is treated as experiment evidence rather than proof of optimal parameter values.</w:t>
      </w:r>
    </w:p>
    <w:p>
      <w:pPr>
        <w:pStyle w:val="Heading1"/>
      </w:pPr>
      <w:r>
        <w:t>34. Approval gate</w:t>
      </w:r>
    </w:p>
    <w:p>
      <w:r>
        <w:rPr>
          <w:b w:val="0"/>
          <w:i w:val="0"/>
        </w:rPr>
        <w:t>Once approved, this document should become the mathematical source of truth for Phase 1–4 implementation. Any later change to a formula, threshold, lookback, weight or lifecycle rule creates a new mathematical specification version and requires replay/regression tests.</w:t>
      </w:r>
    </w:p>
    <w:p>
      <w:r>
        <w:rPr>
          <w:b w:val="0"/>
          <w:i w:val="0"/>
        </w:rPr>
        <w:t>Recommended next engineering step: freeze v2.0 as the deterministic baseline, then implement the formula registry in Python and matching feature calculations/validation in MQL5 before adding ML, ZeroMQ or further optimization.</w:t>
      </w:r>
    </w:p>
    <w:sectPr w:rsidR="00FC693F" w:rsidRPr="0006063C" w:rsidSect="00034616">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