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Calibri" w:hAnsi="Calibri"/>
          <w:b w:val="1"/>
          <w:bCs w:val="1"/>
          <w:outline w:val="0"/>
          <w:color w:val="1f3864"/>
          <w:sz w:val="34"/>
          <w:szCs w:val="34"/>
          <w:u w:color="1f3864"/>
          <w:rtl w:val="0"/>
          <w:lang w:val="it-IT"/>
          <w14:textFill>
            <w14:solidFill>
              <w14:srgbClr w14:val="1F3864"/>
            </w14:solidFill>
          </w14:textFill>
        </w:rPr>
        <w:t xml:space="preserve">Case 1 </w:t>
      </w:r>
      <w:r>
        <w:rPr>
          <w:rFonts w:ascii="Calibri" w:hAnsi="Calibri" w:hint="default"/>
          <w:b w:val="1"/>
          <w:bCs w:val="1"/>
          <w:outline w:val="0"/>
          <w:color w:val="1f3864"/>
          <w:sz w:val="34"/>
          <w:szCs w:val="34"/>
          <w:u w:color="1f3864"/>
          <w:rtl w:val="0"/>
          <w:lang w:val="en-US"/>
          <w14:textFill>
            <w14:solidFill>
              <w14:srgbClr w14:val="1F3864"/>
            </w14:solidFill>
          </w14:textFill>
        </w:rPr>
        <w:t xml:space="preserve">— </w:t>
      </w:r>
      <w:r>
        <w:rPr>
          <w:rFonts w:ascii="Calibri" w:hAnsi="Calibri"/>
          <w:b w:val="1"/>
          <w:bCs w:val="1"/>
          <w:outline w:val="0"/>
          <w:color w:val="1f3864"/>
          <w:sz w:val="34"/>
          <w:szCs w:val="34"/>
          <w:u w:color="1f3864"/>
          <w:rtl w:val="0"/>
          <w:lang w:val="de-DE"/>
          <w14:textFill>
            <w14:solidFill>
              <w14:srgbClr w14:val="1F3864"/>
            </w14:solidFill>
          </w14:textFill>
        </w:rPr>
        <w:t>Anti-NMDA Receptor Encephalitis</w:t>
      </w:r>
    </w:p>
    <w:p>
      <w:pPr>
        <w:pStyle w:val="Body"/>
        <w:bidi w:val="0"/>
      </w:pPr>
      <w:r>
        <w:rPr>
          <w:rFonts w:ascii="Calibri" w:hAnsi="Calibri"/>
          <w:i w:val="1"/>
          <w:iCs w:val="1"/>
          <w:outline w:val="0"/>
          <w:color w:val="595959"/>
          <w:u w:color="595959"/>
          <w:rtl w:val="0"/>
          <w:lang w:val="en-US"/>
          <w14:textFill>
            <w14:solidFill>
              <w14:srgbClr w14:val="595959"/>
            </w14:solidFill>
          </w14:textFill>
        </w:rPr>
        <w:t xml:space="preserve">Simulated Patient Case Report </w:t>
      </w:r>
      <w:r>
        <w:rPr>
          <w:rFonts w:ascii="Calibri" w:hAnsi="Calibri" w:hint="default"/>
          <w:i w:val="1"/>
          <w:iCs w:val="1"/>
          <w:outline w:val="0"/>
          <w:color w:val="595959"/>
          <w:u w:color="595959"/>
          <w:rtl w:val="0"/>
          <w:lang w:val="de-DE"/>
          <w14:textFill>
            <w14:solidFill>
              <w14:srgbClr w14:val="595959"/>
            </w14:solidFill>
          </w14:textFill>
        </w:rPr>
        <w:t xml:space="preserve">· </w:t>
      </w:r>
      <w:r>
        <w:rPr>
          <w:rFonts w:ascii="Calibri" w:hAnsi="Calibri"/>
          <w:i w:val="1"/>
          <w:iCs w:val="1"/>
          <w:outline w:val="0"/>
          <w:color w:val="595959"/>
          <w:u w:color="595959"/>
          <w:rtl w:val="0"/>
          <w:lang w:val="en-US"/>
          <w14:textFill>
            <w14:solidFill>
              <w14:srgbClr w14:val="595959"/>
            </w14:solidFill>
          </w14:textFill>
        </w:rPr>
        <w:t xml:space="preserve">Neurology / Emergency Medicine </w:t>
      </w:r>
      <w:r>
        <w:rPr>
          <w:rFonts w:ascii="Calibri" w:hAnsi="Calibri" w:hint="default"/>
          <w:i w:val="1"/>
          <w:iCs w:val="1"/>
          <w:outline w:val="0"/>
          <w:color w:val="595959"/>
          <w:u w:color="595959"/>
          <w:rtl w:val="0"/>
          <w:lang w:val="de-DE"/>
          <w14:textFill>
            <w14:solidFill>
              <w14:srgbClr w14:val="595959"/>
            </w14:solidFill>
          </w14:textFill>
        </w:rPr>
        <w:t xml:space="preserve">· </w:t>
      </w:r>
      <w:r>
        <w:rPr>
          <w:rFonts w:ascii="Calibri" w:hAnsi="Calibri"/>
          <w:i w:val="1"/>
          <w:iCs w:val="1"/>
          <w:outline w:val="0"/>
          <w:color w:val="595959"/>
          <w:u w:color="595959"/>
          <w:rtl w:val="0"/>
          <w:lang w:val="en-US"/>
          <w14:textFill>
            <w14:solidFill>
              <w14:srgbClr w14:val="595959"/>
            </w14:solidFill>
          </w14:textFill>
        </w:rPr>
        <w:t>Diagnostic Uncertainty Series</w:t>
      </w:r>
    </w:p>
    <w:p>
      <w:pPr>
        <w:pStyle w:val="Body"/>
        <w:bidi w:val="0"/>
      </w:pPr>
      <w:r>
        <w:rPr>
          <w:rFonts w:ascii="Calibri" w:hAnsi="Calibri"/>
          <w:i w:val="1"/>
          <w:iCs w:val="1"/>
          <w:outline w:val="0"/>
          <w:color w:val="595959"/>
          <w:sz w:val="18"/>
          <w:szCs w:val="18"/>
          <w:u w:color="595959"/>
          <w:rtl w:val="0"/>
          <w:lang w:val="en-US"/>
          <w14:textFill>
            <w14:solidFill>
              <w14:srgbClr w14:val="595959"/>
            </w14:solidFill>
          </w14:textFill>
        </w:rPr>
        <w:t xml:space="preserve">SIMULATED PATIENT CASE </w:t>
      </w:r>
      <w:r>
        <w:rPr>
          <w:rFonts w:ascii="Calibri" w:hAnsi="Calibri" w:hint="default"/>
          <w:i w:val="1"/>
          <w:iCs w:val="1"/>
          <w:outline w:val="0"/>
          <w:color w:val="595959"/>
          <w:sz w:val="18"/>
          <w:szCs w:val="18"/>
          <w:u w:color="595959"/>
          <w:rtl w:val="0"/>
          <w:lang w:val="en-US"/>
          <w14:textFill>
            <w14:solidFill>
              <w14:srgbClr w14:val="595959"/>
            </w14:solidFill>
          </w14:textFill>
        </w:rPr>
        <w:t xml:space="preserve">— </w:t>
      </w:r>
      <w:r>
        <w:rPr>
          <w:rFonts w:ascii="Calibri" w:hAnsi="Calibri"/>
          <w:i w:val="1"/>
          <w:iCs w:val="1"/>
          <w:outline w:val="0"/>
          <w:color w:val="595959"/>
          <w:sz w:val="18"/>
          <w:szCs w:val="18"/>
          <w:u w:color="595959"/>
          <w:rtl w:val="0"/>
          <w:lang w:val="en-US"/>
          <w14:textFill>
            <w14:solidFill>
              <w14:srgbClr w14:val="595959"/>
            </w14:solidFill>
          </w14:textFill>
        </w:rPr>
        <w:t>This patient, all names, dates, and clinical values are fictional and were constructed for education and simulation. Clinical features are modeled on the peer-reviewed literature cited at the end of this document.</w:t>
      </w:r>
    </w:p>
    <w:p>
      <w:pPr>
        <w:pStyle w:val="Body"/>
        <w:bidi w:val="0"/>
      </w:pP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Patient Identification</w:t>
      </w:r>
    </w:p>
    <w:p>
      <w:pPr>
        <w:pStyle w:val="Heading"/>
        <w:spacing w:before="280" w:after="120"/>
      </w:pPr>
      <w:r>
        <w:rPr>
          <w:rFonts w:ascii="Calibri" w:hAnsi="Calibri"/>
          <w:b w:val="1"/>
          <w:bCs w:val="1"/>
          <w:outline w:val="0"/>
          <w:color w:val="000000"/>
          <w:sz w:val="22"/>
          <w:szCs w:val="22"/>
          <w:u w:color="000000"/>
          <w:rtl w:val="0"/>
          <w:lang w:val="de-DE"/>
          <w14:textFill>
            <w14:solidFill>
              <w14:srgbClr w14:val="000000"/>
            </w14:solidFill>
          </w14:textFill>
        </w:rPr>
        <w:t xml:space="preserve">Name: </w:t>
      </w:r>
      <w:r>
        <w:rPr>
          <w:rFonts w:ascii="Calibri" w:hAnsi="Calibri"/>
          <w:outline w:val="0"/>
          <w:color w:val="000000"/>
          <w:sz w:val="22"/>
          <w:szCs w:val="22"/>
          <w:u w:color="000000"/>
          <w:rtl w:val="0"/>
          <w:lang w:val="es-ES_tradnl"/>
          <w14:textFill>
            <w14:solidFill>
              <w14:srgbClr w14:val="000000"/>
            </w14:solidFill>
          </w14:textFill>
        </w:rPr>
        <w:t>Maya R. Castellanos (fictional)</w:t>
      </w:r>
    </w:p>
    <w:p>
      <w:pPr>
        <w:pStyle w:val="Heading"/>
        <w:spacing w:before="280" w:after="120"/>
      </w:pPr>
      <w:r>
        <w:rPr>
          <w:rFonts w:ascii="Calibri" w:hAnsi="Calibri"/>
          <w:b w:val="1"/>
          <w:bCs w:val="1"/>
          <w:outline w:val="0"/>
          <w:color w:val="000000"/>
          <w:sz w:val="22"/>
          <w:szCs w:val="22"/>
          <w:u w:color="000000"/>
          <w:rtl w:val="0"/>
          <w14:textFill>
            <w14:solidFill>
              <w14:srgbClr w14:val="000000"/>
            </w14:solidFill>
          </w14:textFill>
        </w:rPr>
        <w:t xml:space="preserve">Age / Sex: </w:t>
      </w:r>
      <w:r>
        <w:rPr>
          <w:rFonts w:ascii="Calibri" w:hAnsi="Calibri"/>
          <w:outline w:val="0"/>
          <w:color w:val="000000"/>
          <w:sz w:val="22"/>
          <w:szCs w:val="22"/>
          <w:u w:color="000000"/>
          <w:rtl w:val="0"/>
          <w:lang w:val="en-US"/>
          <w14:textFill>
            <w14:solidFill>
              <w14:srgbClr w14:val="000000"/>
            </w14:solidFill>
          </w14:textFill>
        </w:rPr>
        <w:t>23-year-old female</w:t>
      </w:r>
    </w:p>
    <w:p>
      <w:pPr>
        <w:pStyle w:val="Heading"/>
        <w:spacing w:before="280" w:after="120"/>
      </w:pPr>
      <w:r>
        <w:rPr>
          <w:rFonts w:ascii="Calibri" w:hAnsi="Calibri"/>
          <w:b w:val="1"/>
          <w:bCs w:val="1"/>
          <w:outline w:val="0"/>
          <w:color w:val="000000"/>
          <w:sz w:val="22"/>
          <w:szCs w:val="22"/>
          <w:u w:color="000000"/>
          <w:rtl w:val="0"/>
          <w:lang w:val="en-US"/>
          <w14:textFill>
            <w14:solidFill>
              <w14:srgbClr w14:val="000000"/>
            </w14:solidFill>
          </w14:textFill>
        </w:rPr>
        <w:t xml:space="preserve">Date of birth: </w:t>
      </w:r>
      <w:r>
        <w:rPr>
          <w:rFonts w:ascii="Calibri" w:hAnsi="Calibri"/>
          <w:outline w:val="0"/>
          <w:color w:val="000000"/>
          <w:sz w:val="22"/>
          <w:szCs w:val="22"/>
          <w:u w:color="000000"/>
          <w:rtl w:val="0"/>
          <w:lang w:val="en-US"/>
          <w14:textFill>
            <w14:solidFill>
              <w14:srgbClr w14:val="000000"/>
            </w14:solidFill>
          </w14:textFill>
        </w:rPr>
        <w:t>04/17/2003 (fictional)</w:t>
      </w:r>
    </w:p>
    <w:p>
      <w:pPr>
        <w:pStyle w:val="Heading"/>
        <w:spacing w:before="280" w:after="120"/>
      </w:pPr>
      <w:r>
        <w:rPr>
          <w:rFonts w:ascii="Calibri" w:hAnsi="Calibri"/>
          <w:b w:val="1"/>
          <w:bCs w:val="1"/>
          <w:outline w:val="0"/>
          <w:color w:val="000000"/>
          <w:sz w:val="22"/>
          <w:szCs w:val="22"/>
          <w:u w:color="000000"/>
          <w:rtl w:val="0"/>
          <w:lang w:val="en-US"/>
          <w14:textFill>
            <w14:solidFill>
              <w14:srgbClr w14:val="000000"/>
            </w14:solidFill>
          </w14:textFill>
        </w:rPr>
        <w:t xml:space="preserve">Ethnicity / Language: </w:t>
      </w:r>
      <w:r>
        <w:rPr>
          <w:rFonts w:ascii="Calibri" w:hAnsi="Calibri"/>
          <w:outline w:val="0"/>
          <w:color w:val="000000"/>
          <w:sz w:val="22"/>
          <w:szCs w:val="22"/>
          <w:u w:color="000000"/>
          <w:rtl w:val="0"/>
          <w:lang w:val="en-US"/>
          <w14:textFill>
            <w14:solidFill>
              <w14:srgbClr w14:val="000000"/>
            </w14:solidFill>
          </w14:textFill>
        </w:rPr>
        <w:t>Hispanic (Puerto Rican descent); primary language English, fluent Spanish</w:t>
      </w:r>
    </w:p>
    <w:p>
      <w:pPr>
        <w:pStyle w:val="Heading"/>
        <w:spacing w:before="280" w:after="120"/>
      </w:pPr>
      <w:r>
        <w:rPr>
          <w:rFonts w:ascii="Calibri" w:hAnsi="Calibri"/>
          <w:b w:val="1"/>
          <w:bCs w:val="1"/>
          <w:outline w:val="0"/>
          <w:color w:val="000000"/>
          <w:sz w:val="22"/>
          <w:szCs w:val="22"/>
          <w:u w:color="000000"/>
          <w:rtl w:val="0"/>
          <w:lang w:val="en-US"/>
          <w14:textFill>
            <w14:solidFill>
              <w14:srgbClr w14:val="000000"/>
            </w14:solidFill>
          </w14:textFill>
        </w:rPr>
        <w:t xml:space="preserve">Occupation: </w:t>
      </w:r>
      <w:r>
        <w:rPr>
          <w:rFonts w:ascii="Calibri" w:hAnsi="Calibri"/>
          <w:outline w:val="0"/>
          <w:color w:val="000000"/>
          <w:sz w:val="22"/>
          <w:szCs w:val="22"/>
          <w:u w:color="000000"/>
          <w:rtl w:val="0"/>
          <w:lang w:val="en-US"/>
          <w14:textFill>
            <w14:solidFill>
              <w14:srgbClr w14:val="000000"/>
            </w14:solidFill>
          </w14:textFill>
        </w:rPr>
        <w:t>Second-year graduate student (public health); part-time barista</w:t>
      </w:r>
    </w:p>
    <w:p>
      <w:pPr>
        <w:pStyle w:val="Heading"/>
        <w:spacing w:before="280" w:after="120"/>
      </w:pPr>
      <w:r>
        <w:rPr>
          <w:rFonts w:ascii="Calibri" w:hAnsi="Calibri"/>
          <w:b w:val="1"/>
          <w:bCs w:val="1"/>
          <w:outline w:val="0"/>
          <w:color w:val="000000"/>
          <w:sz w:val="22"/>
          <w:szCs w:val="22"/>
          <w:u w:color="000000"/>
          <w:rtl w:val="0"/>
          <w:lang w:val="en-US"/>
          <w14:textFill>
            <w14:solidFill>
              <w14:srgbClr w14:val="000000"/>
            </w14:solidFill>
          </w14:textFill>
        </w:rPr>
        <w:t xml:space="preserve">Living situation: </w:t>
      </w:r>
      <w:r>
        <w:rPr>
          <w:rFonts w:ascii="Calibri" w:hAnsi="Calibri"/>
          <w:outline w:val="0"/>
          <w:color w:val="000000"/>
          <w:sz w:val="22"/>
          <w:szCs w:val="22"/>
          <w:u w:color="000000"/>
          <w:rtl w:val="0"/>
          <w:lang w:val="en-US"/>
          <w14:textFill>
            <w14:solidFill>
              <w14:srgbClr w14:val="000000"/>
            </w14:solidFill>
          </w14:textFill>
        </w:rPr>
        <w:t>Shares an apartment with one roommate; parents live 2 hours away</w:t>
      </w:r>
    </w:p>
    <w:p>
      <w:pPr>
        <w:pStyle w:val="Heading"/>
        <w:spacing w:before="280" w:after="120"/>
      </w:pPr>
      <w:r>
        <w:rPr>
          <w:rFonts w:ascii="Calibri" w:hAnsi="Calibri"/>
          <w:b w:val="1"/>
          <w:bCs w:val="1"/>
          <w:outline w:val="0"/>
          <w:color w:val="000000"/>
          <w:sz w:val="22"/>
          <w:szCs w:val="22"/>
          <w:u w:color="000000"/>
          <w:rtl w:val="0"/>
          <w:lang w:val="en-US"/>
          <w14:textFill>
            <w14:solidFill>
              <w14:srgbClr w14:val="000000"/>
            </w14:solidFill>
          </w14:textFill>
        </w:rPr>
        <w:t xml:space="preserve">Insurance: </w:t>
      </w:r>
      <w:r>
        <w:rPr>
          <w:rFonts w:ascii="Calibri" w:hAnsi="Calibri"/>
          <w:outline w:val="0"/>
          <w:color w:val="000000"/>
          <w:sz w:val="22"/>
          <w:szCs w:val="22"/>
          <w:u w:color="000000"/>
          <w:rtl w:val="0"/>
          <w:lang w:val="en-US"/>
          <w14:textFill>
            <w14:solidFill>
              <w14:srgbClr w14:val="000000"/>
            </w14:solidFill>
          </w14:textFill>
        </w:rPr>
        <w:t>Student health plan</w:t>
      </w:r>
    </w:p>
    <w:p>
      <w:pPr>
        <w:pStyle w:val="Heading"/>
        <w:spacing w:before="280" w:after="120"/>
      </w:pPr>
      <w:r>
        <w:rPr>
          <w:rFonts w:ascii="Calibri" w:hAnsi="Calibri"/>
          <w:b w:val="1"/>
          <w:bCs w:val="1"/>
          <w:outline w:val="0"/>
          <w:color w:val="000000"/>
          <w:sz w:val="22"/>
          <w:szCs w:val="22"/>
          <w:u w:color="000000"/>
          <w:rtl w:val="0"/>
          <w:lang w:val="en-US"/>
          <w14:textFill>
            <w14:solidFill>
              <w14:srgbClr w14:val="000000"/>
            </w14:solidFill>
          </w14:textFill>
        </w:rPr>
        <w:t xml:space="preserve">Source of history: </w:t>
      </w:r>
      <w:r>
        <w:rPr>
          <w:rFonts w:ascii="Calibri" w:hAnsi="Calibri"/>
          <w:outline w:val="0"/>
          <w:color w:val="000000"/>
          <w:sz w:val="22"/>
          <w:szCs w:val="22"/>
          <w:u w:color="000000"/>
          <w:rtl w:val="0"/>
          <w:lang w:val="en-US"/>
          <w14:textFill>
            <w14:solidFill>
              <w14:srgbClr w14:val="000000"/>
            </w14:solidFill>
          </w14:textFill>
        </w:rPr>
        <w:t>Patient (limited reliability at time of admission), roommate, mother, ED records from three prior visits</w:t>
      </w:r>
    </w:p>
    <w:p>
      <w:pPr>
        <w:pStyle w:val="Heading"/>
        <w:spacing w:before="280" w:after="120"/>
      </w:pPr>
      <w:r>
        <w:rPr>
          <w:rFonts w:ascii="Calibri" w:hAnsi="Calibri"/>
          <w:b w:val="1"/>
          <w:bCs w:val="1"/>
          <w:outline w:val="0"/>
          <w:color w:val="000000"/>
          <w:sz w:val="22"/>
          <w:szCs w:val="22"/>
          <w:u w:color="000000"/>
          <w:rtl w:val="0"/>
          <w:lang w:val="en-US"/>
          <w14:textFill>
            <w14:solidFill>
              <w14:srgbClr w14:val="000000"/>
            </w14:solidFill>
          </w14:textFill>
        </w:rPr>
        <w:t xml:space="preserve">Date of current encounter: </w:t>
      </w:r>
      <w:r>
        <w:rPr>
          <w:rFonts w:ascii="Calibri" w:hAnsi="Calibri"/>
          <w:outline w:val="0"/>
          <w:color w:val="000000"/>
          <w:sz w:val="22"/>
          <w:szCs w:val="22"/>
          <w:u w:color="000000"/>
          <w:rtl w:val="0"/>
          <w:lang w:val="en-US"/>
          <w14:textFill>
            <w14:solidFill>
              <w14:srgbClr w14:val="000000"/>
            </w14:solidFill>
          </w14:textFill>
        </w:rPr>
        <w:t>Day 0 = admission to inpatient medicine after transfer from psychiatric emergency service</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Chief Complaint</w:t>
      </w:r>
    </w:p>
    <w:p>
      <w:pPr>
        <w:pStyle w:val="Heading"/>
        <w:spacing w:before="280" w:after="120"/>
      </w:pPr>
      <w:r>
        <w:rPr>
          <w:rFonts w:ascii="Calibri" w:hAnsi="Calibri" w:hint="default"/>
          <w:outline w:val="0"/>
          <w:color w:val="000000"/>
          <w:sz w:val="22"/>
          <w:szCs w:val="22"/>
          <w:u w:color="000000"/>
          <w:rtl w:val="1"/>
          <w:lang w:val="ar-SA" w:bidi="ar-SA"/>
          <w14:textFill>
            <w14:solidFill>
              <w14:srgbClr w14:val="000000"/>
            </w14:solidFill>
          </w14:textFill>
        </w:rPr>
        <w:t>“</w:t>
      </w:r>
      <w:r>
        <w:rPr>
          <w:rFonts w:ascii="Calibri" w:hAnsi="Calibri"/>
          <w:outline w:val="0"/>
          <w:color w:val="000000"/>
          <w:sz w:val="22"/>
          <w:szCs w:val="22"/>
          <w:u w:color="000000"/>
          <w:rtl w:val="0"/>
          <w:lang w:val="en-US"/>
          <w14:textFill>
            <w14:solidFill>
              <w14:srgbClr w14:val="000000"/>
            </w14:solidFill>
          </w14:textFill>
        </w:rPr>
        <w:t xml:space="preserve">She's not herself </w:t>
      </w:r>
      <w:r>
        <w:rPr>
          <w:rFonts w:ascii="Calibri" w:hAnsi="Calibri" w:hint="default"/>
          <w:outline w:val="0"/>
          <w:color w:val="000000"/>
          <w:sz w:val="22"/>
          <w:szCs w:val="22"/>
          <w:u w:color="000000"/>
          <w:rtl w:val="0"/>
          <w:lang w:val="en-US"/>
          <w14:textFill>
            <w14:solidFill>
              <w14:srgbClr w14:val="000000"/>
            </w14:solidFill>
          </w14:textFill>
        </w:rPr>
        <w:t xml:space="preserve">— </w:t>
      </w:r>
      <w:r>
        <w:rPr>
          <w:rFonts w:ascii="Calibri" w:hAnsi="Calibri"/>
          <w:outline w:val="0"/>
          <w:color w:val="000000"/>
          <w:sz w:val="22"/>
          <w:szCs w:val="22"/>
          <w:u w:color="000000"/>
          <w:rtl w:val="0"/>
          <w:lang w:val="en-US"/>
          <w14:textFill>
            <w14:solidFill>
              <w14:srgbClr w14:val="000000"/>
            </w14:solidFill>
          </w14:textFill>
        </w:rPr>
        <w:t>she's talking to people who aren't there and her mouth keeps moving.</w:t>
      </w:r>
      <w:r>
        <w:rPr>
          <w:rFonts w:ascii="Calibri" w:hAnsi="Calibri" w:hint="default"/>
          <w:outline w:val="0"/>
          <w:color w:val="000000"/>
          <w:sz w:val="22"/>
          <w:szCs w:val="22"/>
          <w:u w:color="000000"/>
          <w:rtl w:val="0"/>
          <w14:textFill>
            <w14:solidFill>
              <w14:srgbClr w14:val="000000"/>
            </w14:solidFill>
          </w14:textFill>
        </w:rPr>
        <w:t xml:space="preserve">” </w:t>
      </w:r>
      <w:r>
        <w:rPr>
          <w:rFonts w:ascii="Calibri" w:hAnsi="Calibri"/>
          <w:outline w:val="0"/>
          <w:color w:val="000000"/>
          <w:sz w:val="22"/>
          <w:szCs w:val="22"/>
          <w:u w:color="000000"/>
          <w:rtl w:val="0"/>
          <w:lang w:val="en-US"/>
          <w14:textFill>
            <w14:solidFill>
              <w14:srgbClr w14:val="000000"/>
            </w14:solidFill>
          </w14:textFill>
        </w:rPr>
        <w:t>(roommate). Patient unable to provide a coherent chief complaint.</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History of Present Illness</w:t>
      </w:r>
    </w:p>
    <w:p>
      <w:pPr>
        <w:pStyle w:val="Heading"/>
        <w:spacing w:before="280" w:after="120"/>
      </w:pPr>
      <w:r>
        <w:rPr>
          <w:rFonts w:ascii="Calibri" w:hAnsi="Calibri"/>
          <w:outline w:val="0"/>
          <w:color w:val="000000"/>
          <w:sz w:val="22"/>
          <w:szCs w:val="22"/>
          <w:u w:color="000000"/>
          <w:rtl w:val="0"/>
          <w:lang w:val="en-US"/>
          <w14:textFill>
            <w14:solidFill>
              <w14:srgbClr w14:val="000000"/>
            </w14:solidFill>
          </w14:textFill>
        </w:rPr>
        <w:t>Ms. Castellanos is a previously healthy 23-year-old woman with no personal or family psychiatric history who presents with a 4-week progressive illness that has now culminated in agitation, hallucinations, orofacial dyskinesias, autonomic instability, and a witnessed generalized seizure. The course is best understood as a sequence of three emergency department (ED) visits over 19 days, none of which produced a unifying diagnosis.</w:t>
      </w:r>
    </w:p>
    <w:p>
      <w:pPr>
        <w:pStyle w:val="Heading"/>
        <w:spacing w:before="280" w:after="120"/>
      </w:pPr>
      <w:r>
        <w:rPr>
          <w:rFonts w:ascii="Calibri" w:hAnsi="Calibri"/>
          <w:outline w:val="0"/>
          <w:color w:val="000000"/>
          <w:sz w:val="22"/>
          <w:szCs w:val="22"/>
          <w:u w:color="000000"/>
          <w:rtl w:val="0"/>
          <w:lang w:val="en-US"/>
          <w14:textFill>
            <w14:solidFill>
              <w14:srgbClr w14:val="000000"/>
            </w14:solidFill>
          </w14:textFill>
        </w:rPr>
        <w:t xml:space="preserve">Approximately 4 weeks ago (Day </w:t>
      </w:r>
      <w:r>
        <w:rPr>
          <w:rFonts w:ascii="Calibri" w:hAnsi="Calibri" w:hint="default"/>
          <w:outline w:val="0"/>
          <w:color w:val="000000"/>
          <w:sz w:val="22"/>
          <w:szCs w:val="22"/>
          <w:u w:color="000000"/>
          <w:rtl w:val="0"/>
          <w14:textFill>
            <w14:solidFill>
              <w14:srgbClr w14:val="000000"/>
            </w14:solidFill>
          </w14:textFill>
        </w:rPr>
        <w:t>−</w:t>
      </w:r>
      <w:r>
        <w:rPr>
          <w:rFonts w:ascii="Calibri" w:hAnsi="Calibri"/>
          <w:outline w:val="0"/>
          <w:color w:val="000000"/>
          <w:sz w:val="22"/>
          <w:szCs w:val="22"/>
          <w:u w:color="000000"/>
          <w:rtl w:val="0"/>
          <w:lang w:val="en-US"/>
          <w14:textFill>
            <w14:solidFill>
              <w14:srgbClr w14:val="000000"/>
            </w14:solidFill>
          </w14:textFill>
        </w:rPr>
        <w:t xml:space="preserve">28) she developed a flu-like prodrome: low-grade fever to 38.1 </w:t>
      </w:r>
      <w:r>
        <w:rPr>
          <w:rFonts w:ascii="Calibri" w:hAnsi="Calibri" w:hint="default"/>
          <w:outline w:val="0"/>
          <w:color w:val="000000"/>
          <w:sz w:val="22"/>
          <w:szCs w:val="22"/>
          <w:u w:color="000000"/>
          <w:rtl w:val="0"/>
          <w:lang w:val="it-IT"/>
          <w14:textFill>
            <w14:solidFill>
              <w14:srgbClr w14:val="000000"/>
            </w14:solidFill>
          </w14:textFill>
        </w:rPr>
        <w:t>°</w:t>
      </w:r>
      <w:r>
        <w:rPr>
          <w:rFonts w:ascii="Calibri" w:hAnsi="Calibri"/>
          <w:outline w:val="0"/>
          <w:color w:val="000000"/>
          <w:sz w:val="22"/>
          <w:szCs w:val="22"/>
          <w:u w:color="000000"/>
          <w:rtl w:val="0"/>
          <w:lang w:val="en-US"/>
          <w14:textFill>
            <w14:solidFill>
              <w14:srgbClr w14:val="000000"/>
            </w14:solidFill>
          </w14:textFill>
        </w:rPr>
        <w:t xml:space="preserve">C, diffuse headache, malaise, and nausea lasting about 5 days. She missed one week of classes. The headache persisted after the fever resolved. Beginning around Day </w:t>
      </w:r>
      <w:r>
        <w:rPr>
          <w:rFonts w:ascii="Calibri" w:hAnsi="Calibri" w:hint="default"/>
          <w:outline w:val="0"/>
          <w:color w:val="000000"/>
          <w:sz w:val="22"/>
          <w:szCs w:val="22"/>
          <w:u w:color="000000"/>
          <w:rtl w:val="0"/>
          <w14:textFill>
            <w14:solidFill>
              <w14:srgbClr w14:val="000000"/>
            </w14:solidFill>
          </w14:textFill>
        </w:rPr>
        <w:t>−</w:t>
      </w:r>
      <w:r>
        <w:rPr>
          <w:rFonts w:ascii="Calibri" w:hAnsi="Calibri"/>
          <w:outline w:val="0"/>
          <w:color w:val="000000"/>
          <w:sz w:val="22"/>
          <w:szCs w:val="22"/>
          <w:u w:color="000000"/>
          <w:rtl w:val="0"/>
          <w:lang w:val="en-US"/>
          <w14:textFill>
            <w14:solidFill>
              <w14:srgbClr w14:val="000000"/>
            </w14:solidFill>
          </w14:textFill>
        </w:rPr>
        <w:t>21 her roommate noticed she was sleeping only 2</w:t>
      </w:r>
      <w:r>
        <w:rPr>
          <w:rFonts w:ascii="Calibri" w:hAnsi="Calibri" w:hint="default"/>
          <w:outline w:val="0"/>
          <w:color w:val="000000"/>
          <w:sz w:val="22"/>
          <w:szCs w:val="22"/>
          <w:u w:color="000000"/>
          <w:rtl w:val="0"/>
          <w14:textFill>
            <w14:solidFill>
              <w14:srgbClr w14:val="000000"/>
            </w14:solidFill>
          </w14:textFill>
        </w:rPr>
        <w:t>–</w:t>
      </w:r>
      <w:r>
        <w:rPr>
          <w:rFonts w:ascii="Calibri" w:hAnsi="Calibri"/>
          <w:outline w:val="0"/>
          <w:color w:val="000000"/>
          <w:sz w:val="22"/>
          <w:szCs w:val="22"/>
          <w:u w:color="000000"/>
          <w:rtl w:val="0"/>
          <w:lang w:val="en-US"/>
          <w14:textFill>
            <w14:solidFill>
              <w14:srgbClr w14:val="000000"/>
            </w14:solidFill>
          </w14:textFill>
        </w:rPr>
        <w:t xml:space="preserve">3 hours per night, had become unusually irritable, and was </w:t>
      </w:r>
      <w:r>
        <w:rPr>
          <w:rFonts w:ascii="Calibri" w:hAnsi="Calibri" w:hint="default"/>
          <w:outline w:val="0"/>
          <w:color w:val="000000"/>
          <w:sz w:val="22"/>
          <w:szCs w:val="22"/>
          <w:u w:color="000000"/>
          <w:rtl w:val="1"/>
          <w:lang w:val="ar-SA" w:bidi="ar-SA"/>
          <w14:textFill>
            <w14:solidFill>
              <w14:srgbClr w14:val="000000"/>
            </w14:solidFill>
          </w14:textFill>
        </w:rPr>
        <w:t>“</w:t>
      </w:r>
      <w:r>
        <w:rPr>
          <w:rFonts w:ascii="Calibri" w:hAnsi="Calibri"/>
          <w:outline w:val="0"/>
          <w:color w:val="000000"/>
          <w:sz w:val="22"/>
          <w:szCs w:val="22"/>
          <w:u w:color="000000"/>
          <w:rtl w:val="0"/>
          <w:lang w:val="en-US"/>
          <w14:textFill>
            <w14:solidFill>
              <w14:srgbClr w14:val="000000"/>
            </w14:solidFill>
          </w14:textFill>
        </w:rPr>
        <w:t>talking really fast.</w:t>
      </w:r>
      <w:r>
        <w:rPr>
          <w:rFonts w:ascii="Calibri" w:hAnsi="Calibri" w:hint="default"/>
          <w:outline w:val="0"/>
          <w:color w:val="000000"/>
          <w:sz w:val="22"/>
          <w:szCs w:val="22"/>
          <w:u w:color="000000"/>
          <w:rtl w:val="0"/>
          <w14:textFill>
            <w14:solidFill>
              <w14:srgbClr w14:val="000000"/>
            </w14:solidFill>
          </w14:textFill>
        </w:rPr>
        <w:t xml:space="preserve">” </w:t>
      </w:r>
      <w:r>
        <w:rPr>
          <w:rFonts w:ascii="Calibri" w:hAnsi="Calibri"/>
          <w:outline w:val="0"/>
          <w:color w:val="000000"/>
          <w:sz w:val="22"/>
          <w:szCs w:val="22"/>
          <w:u w:color="000000"/>
          <w:rtl w:val="0"/>
          <w:lang w:val="en-US"/>
          <w14:textFill>
            <w14:solidFill>
              <w14:srgbClr w14:val="000000"/>
            </w14:solidFill>
          </w14:textFill>
        </w:rPr>
        <w:t>She began expressing a fixed belief that her academic advisor was reading her text messages. She did not use any substances beyond occasional alcohol.</w:t>
      </w:r>
    </w:p>
    <w:p>
      <w:pPr>
        <w:pStyle w:val="Heading"/>
        <w:spacing w:before="280" w:after="120"/>
      </w:pPr>
      <w:r>
        <w:rPr>
          <w:rFonts w:ascii="Calibri" w:hAnsi="Calibri"/>
          <w:outline w:val="0"/>
          <w:color w:val="000000"/>
          <w:sz w:val="22"/>
          <w:szCs w:val="22"/>
          <w:u w:color="000000"/>
          <w:rtl w:val="0"/>
          <w:lang w:val="en-US"/>
          <w14:textFill>
            <w14:solidFill>
              <w14:srgbClr w14:val="000000"/>
            </w14:solidFill>
          </w14:textFill>
        </w:rPr>
        <w:t>Over the subsequent 2 weeks symptoms escalated to include word-finding difficulty, short-term memory lapses (repeatedly asking the same question), episodes of staring and unresponsiveness lasting 30</w:t>
      </w:r>
      <w:r>
        <w:rPr>
          <w:rFonts w:ascii="Calibri" w:hAnsi="Calibri" w:hint="default"/>
          <w:outline w:val="0"/>
          <w:color w:val="000000"/>
          <w:sz w:val="22"/>
          <w:szCs w:val="22"/>
          <w:u w:color="000000"/>
          <w:rtl w:val="0"/>
          <w14:textFill>
            <w14:solidFill>
              <w14:srgbClr w14:val="000000"/>
            </w14:solidFill>
          </w14:textFill>
        </w:rPr>
        <w:t>–</w:t>
      </w:r>
      <w:r>
        <w:rPr>
          <w:rFonts w:ascii="Calibri" w:hAnsi="Calibri"/>
          <w:outline w:val="0"/>
          <w:color w:val="000000"/>
          <w:sz w:val="22"/>
          <w:szCs w:val="22"/>
          <w:u w:color="000000"/>
          <w:rtl w:val="0"/>
          <w:lang w:val="en-US"/>
          <w14:textFill>
            <w14:solidFill>
              <w14:srgbClr w14:val="000000"/>
            </w14:solidFill>
          </w14:textFill>
        </w:rPr>
        <w:t xml:space="preserve">60 seconds, and a new involuntary chewing/lip-smacking movement that the roommate initially attributed to anxiety. Two days before the current admission she was placed on an involuntary psychiatric hold after her third ED visit (see below). Within 36 hours of receiving scheduled haloperidol she developed rigidity, tachycardia to 140s, temperature of 39.4 </w:t>
      </w:r>
      <w:r>
        <w:rPr>
          <w:rFonts w:ascii="Calibri" w:hAnsi="Calibri" w:hint="default"/>
          <w:outline w:val="0"/>
          <w:color w:val="000000"/>
          <w:sz w:val="22"/>
          <w:szCs w:val="22"/>
          <w:u w:color="000000"/>
          <w:rtl w:val="0"/>
          <w:lang w:val="it-IT"/>
          <w14:textFill>
            <w14:solidFill>
              <w14:srgbClr w14:val="000000"/>
            </w14:solidFill>
          </w14:textFill>
        </w:rPr>
        <w:t>°</w:t>
      </w:r>
      <w:r>
        <w:rPr>
          <w:rFonts w:ascii="Calibri" w:hAnsi="Calibri"/>
          <w:outline w:val="0"/>
          <w:color w:val="000000"/>
          <w:sz w:val="22"/>
          <w:szCs w:val="22"/>
          <w:u w:color="000000"/>
          <w:rtl w:val="0"/>
          <w:lang w:val="en-US"/>
          <w14:textFill>
            <w14:solidFill>
              <w14:srgbClr w14:val="000000"/>
            </w14:solidFill>
          </w14:textFill>
        </w:rPr>
        <w:t>C, labile blood pressure, and a 2-minute generalized tonic-clonic seizure. She was transferred to inpatient medicine for evaluation of possible neuroleptic malignant syndrome versus an organic encephalopathy.</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Prior Emergency Department Visits (Undiagnosed)</w:t>
      </w:r>
    </w:p>
    <w:p>
      <w:pPr>
        <w:pStyle w:val="Heading"/>
        <w:spacing w:before="280" w:after="120"/>
      </w:pPr>
      <w:r>
        <w:rPr>
          <w:rFonts w:ascii="Calibri" w:hAnsi="Calibri"/>
          <w:outline w:val="0"/>
          <w:color w:val="000000"/>
          <w:sz w:val="22"/>
          <w:szCs w:val="22"/>
          <w:u w:color="000000"/>
          <w:rtl w:val="0"/>
          <w:lang w:val="en-US"/>
          <w14:textFill>
            <w14:solidFill>
              <w14:srgbClr w14:val="000000"/>
            </w14:solidFill>
          </w14:textFill>
        </w:rPr>
        <w:t>The following encounters preceded the correct diagnosis. Each visit addressed the presenting symptom but did not integrate the evolving trajectory.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900"/>
        <w:gridCol w:w="2000"/>
        <w:gridCol w:w="2560"/>
        <w:gridCol w:w="1700"/>
        <w:gridCol w:w="1300"/>
      </w:tblGrid>
      <w:tr>
        <w:tblPrEx>
          <w:shd w:val="clear" w:color="auto" w:fill="4f81bd"/>
        </w:tblPrEx>
        <w:trPr>
          <w:trHeight w:val="529" w:hRule="atLeast"/>
          <w:tblHeader/>
        </w:trPr>
        <w:tc>
          <w:tcPr>
            <w:tcW w:type="dxa" w:w="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lang w:val="en-US"/>
              </w:rPr>
              <w:t>Visit</w:t>
            </w:r>
          </w:p>
        </w:tc>
        <w:tc>
          <w:tcPr>
            <w:tcW w:type="dxa" w:w="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lang w:val="en-US"/>
              </w:rPr>
              <w:t>Day</w:t>
            </w:r>
          </w:p>
        </w:tc>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Presenting complaint</w:t>
            </w:r>
          </w:p>
        </w:tc>
        <w:tc>
          <w:tcPr>
            <w:tcW w:type="dxa" w:w="2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Key ED findings</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ED working diagnosis</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lang w:val="fr-FR"/>
              </w:rPr>
              <w:t>Disposition</w:t>
            </w:r>
          </w:p>
        </w:tc>
      </w:tr>
      <w:tr>
        <w:tblPrEx>
          <w:shd w:val="clear" w:color="auto" w:fill="ced7e7"/>
        </w:tblPrEx>
        <w:trPr>
          <w:trHeight w:val="2045" w:hRule="atLeast"/>
        </w:trPr>
        <w:tc>
          <w:tcPr>
            <w:tcW w:type="dxa" w:w="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en-US"/>
              </w:rPr>
              <w:t>ED #1</w:t>
            </w:r>
          </w:p>
        </w:tc>
        <w:tc>
          <w:tcPr>
            <w:tcW w:type="dxa" w:w="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en-US"/>
              </w:rPr>
              <w:t xml:space="preserve">Day </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24</w:t>
            </w:r>
          </w:p>
        </w:tc>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5 days of headache, low-grade fever, nausea, poor sleep</w:t>
            </w:r>
          </w:p>
        </w:tc>
        <w:tc>
          <w:tcPr>
            <w:tcW w:type="dxa" w:w="2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 xml:space="preserve">T 37.9 </w:t>
            </w:r>
            <w:r>
              <w:rPr>
                <w:rFonts w:ascii="Calibri" w:hAnsi="Calibri" w:hint="default"/>
                <w:sz w:val="20"/>
                <w:szCs w:val="20"/>
                <w:u w:color="000000"/>
                <w:shd w:val="nil" w:color="auto" w:fill="auto"/>
                <w:rtl w:val="0"/>
                <w:lang w:val="it-IT"/>
              </w:rPr>
              <w:t>°</w:t>
            </w:r>
            <w:r>
              <w:rPr>
                <w:rFonts w:ascii="Calibri" w:hAnsi="Calibri"/>
                <w:sz w:val="20"/>
                <w:szCs w:val="20"/>
                <w:u w:color="000000"/>
                <w:shd w:val="nil" w:color="auto" w:fill="auto"/>
                <w:rtl w:val="0"/>
                <w:lang w:val="en-US"/>
              </w:rPr>
              <w:t>C, HR 96, neck supple, non-focal neuro exam, CBC/BMP normal, urine hCG negative, no imaging</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Viral syndrome; tension-type headache</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en-US"/>
              </w:rPr>
              <w:t>Discharged with acetaminophen, hydration advice; return precautions</w:t>
            </w:r>
          </w:p>
        </w:tc>
      </w:tr>
      <w:tr>
        <w:tblPrEx>
          <w:shd w:val="clear" w:color="auto" w:fill="ced7e7"/>
        </w:tblPrEx>
        <w:trPr>
          <w:trHeight w:val="2954" w:hRule="atLeast"/>
        </w:trPr>
        <w:tc>
          <w:tcPr>
            <w:tcW w:type="dxa" w:w="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en-US"/>
              </w:rPr>
              <w:t>ED #2</w:t>
            </w:r>
          </w:p>
        </w:tc>
        <w:tc>
          <w:tcPr>
            <w:tcW w:type="dxa" w:w="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en-US"/>
              </w:rPr>
              <w:t xml:space="preserve">Day </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15</w:t>
            </w:r>
          </w:p>
        </w:tc>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 xml:space="preserve">Roommate-driven visit: insomnia, racing thoughts, paranoia about advisor, tearful, </w:t>
            </w:r>
            <w:r>
              <w:rPr>
                <w:rFonts w:ascii="Calibri" w:hAnsi="Calibri" w:hint="default"/>
                <w:sz w:val="20"/>
                <w:szCs w:val="20"/>
                <w:u w:color="000000"/>
                <w:shd w:val="nil" w:color="auto" w:fill="auto"/>
                <w:rtl w:val="1"/>
                <w:lang w:val="ar-SA" w:bidi="ar-SA"/>
              </w:rPr>
              <w:t>“</w:t>
            </w:r>
            <w:r>
              <w:rPr>
                <w:rFonts w:ascii="Calibri" w:hAnsi="Calibri"/>
                <w:sz w:val="20"/>
                <w:szCs w:val="20"/>
                <w:u w:color="000000"/>
                <w:shd w:val="nil" w:color="auto" w:fill="auto"/>
                <w:rtl w:val="0"/>
                <w:lang w:val="en-US"/>
              </w:rPr>
              <w:t>not sleeping in a week</w:t>
            </w:r>
            <w:r>
              <w:rPr>
                <w:rFonts w:ascii="Calibri" w:hAnsi="Calibri" w:hint="default"/>
                <w:sz w:val="20"/>
                <w:szCs w:val="20"/>
                <w:u w:color="000000"/>
                <w:shd w:val="nil" w:color="auto" w:fill="auto"/>
                <w:rtl w:val="0"/>
              </w:rPr>
              <w:t>”</w:t>
            </w:r>
          </w:p>
        </w:tc>
        <w:tc>
          <w:tcPr>
            <w:tcW w:type="dxa" w:w="2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 xml:space="preserve">Afebrile, HR 104, oriented </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lang w:val="en-US"/>
              </w:rPr>
              <w:t xml:space="preserve">4, tangential speech, no hallucinations elicited, urine drug screen negative, TSH normal, no LP or imaging; brief social-work evaluation noted </w:t>
            </w:r>
            <w:r>
              <w:rPr>
                <w:rFonts w:ascii="Calibri" w:hAnsi="Calibri" w:hint="default"/>
                <w:sz w:val="20"/>
                <w:szCs w:val="20"/>
                <w:u w:color="000000"/>
                <w:shd w:val="nil" w:color="auto" w:fill="auto"/>
                <w:rtl w:val="1"/>
                <w:lang w:val="ar-SA" w:bidi="ar-SA"/>
              </w:rPr>
              <w:t>“</w:t>
            </w:r>
            <w:r>
              <w:rPr>
                <w:rFonts w:ascii="Calibri" w:hAnsi="Calibri"/>
                <w:sz w:val="20"/>
                <w:szCs w:val="20"/>
                <w:u w:color="000000"/>
                <w:shd w:val="nil" w:color="auto" w:fill="auto"/>
                <w:rtl w:val="0"/>
                <w:lang w:val="en-US"/>
              </w:rPr>
              <w:t>academic stress</w:t>
            </w:r>
            <w:r>
              <w:rPr>
                <w:rFonts w:ascii="Calibri" w:hAnsi="Calibri" w:hint="default"/>
                <w:sz w:val="20"/>
                <w:szCs w:val="20"/>
                <w:u w:color="000000"/>
                <w:shd w:val="nil" w:color="auto" w:fill="auto"/>
                <w:rtl w:val="0"/>
              </w:rPr>
              <w:t>”</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Acute stress disorder / generalized anxiety; rule out substance-induced mood disorder</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en-US"/>
              </w:rPr>
              <w:t>Discharged with lorazepam 0.5 mg PRN, outpatient counseling referral (first available appointment 3 weeks out)</w:t>
            </w:r>
          </w:p>
        </w:tc>
      </w:tr>
      <w:tr>
        <w:tblPrEx>
          <w:shd w:val="clear" w:color="auto" w:fill="ced7e7"/>
        </w:tblPrEx>
        <w:trPr>
          <w:trHeight w:val="3258" w:hRule="atLeast"/>
        </w:trPr>
        <w:tc>
          <w:tcPr>
            <w:tcW w:type="dxa" w:w="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rPr>
              <w:t>ED #3</w:t>
            </w:r>
          </w:p>
        </w:tc>
        <w:tc>
          <w:tcPr>
            <w:tcW w:type="dxa" w:w="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en-US"/>
              </w:rPr>
              <w:t xml:space="preserve">Day </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5</w:t>
            </w:r>
          </w:p>
        </w:tc>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Brought by campus police after found wandering, shouting at strangers; auditory hallucinations, disorganized speech, intermittent staring</w:t>
            </w:r>
          </w:p>
        </w:tc>
        <w:tc>
          <w:tcPr>
            <w:tcW w:type="dxa" w:w="25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 xml:space="preserve">Afebrile, HR 112, BP 138/88, uncooperative with full neuro exam but </w:t>
            </w:r>
            <w:r>
              <w:rPr>
                <w:rFonts w:ascii="Calibri" w:hAnsi="Calibri" w:hint="default"/>
                <w:sz w:val="20"/>
                <w:szCs w:val="20"/>
                <w:u w:color="000000"/>
                <w:shd w:val="nil" w:color="auto" w:fill="auto"/>
                <w:rtl w:val="1"/>
                <w:lang w:val="ar-SA" w:bidi="ar-SA"/>
              </w:rPr>
              <w:t>“</w:t>
            </w:r>
            <w:r>
              <w:rPr>
                <w:rFonts w:ascii="Calibri" w:hAnsi="Calibri"/>
                <w:sz w:val="20"/>
                <w:szCs w:val="20"/>
                <w:u w:color="000000"/>
                <w:shd w:val="nil" w:color="auto" w:fill="auto"/>
                <w:rtl w:val="0"/>
                <w:lang w:val="en-US"/>
              </w:rPr>
              <w:t>moves all extremities, no focal deficit</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lang w:val="en-US"/>
              </w:rPr>
              <w:t>; CT head without contrast normal; CBC/BMP normal; UDS negative; ammonia normal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First-episode psychosis; rule out schizophreniform disorder / bipolar I with psychotic features</w:t>
            </w:r>
          </w:p>
        </w:tc>
        <w:tc>
          <w:tcPr>
            <w:tcW w:type="dxa" w:w="13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Calibri" w:hAnsi="Calibri"/>
                <w:sz w:val="20"/>
                <w:szCs w:val="20"/>
                <w:u w:color="000000"/>
                <w:shd w:val="nil" w:color="auto" w:fill="auto"/>
                <w:rtl w:val="0"/>
                <w:lang w:val="en-US"/>
              </w:rPr>
              <w:t xml:space="preserve">Involuntary psychiatric hold; admitted to psychiatric emergency service; haloperidol 5 mg IM </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lang w:val="en-US"/>
              </w:rPr>
              <w:t>2 then scheduled PO</w:t>
            </w:r>
          </w:p>
        </w:tc>
      </w:tr>
    </w:tbl>
    <w:p>
      <w:pPr>
        <w:pStyle w:val="Heading"/>
        <w:widowControl w:val="0"/>
        <w:spacing w:before="280" w:after="120"/>
      </w:pPr>
    </w:p>
    <w:p>
      <w:pPr>
        <w:pStyle w:val="Heading"/>
        <w:widowControl w:val="0"/>
        <w:spacing w:before="280" w:after="120"/>
      </w:pPr>
    </w:p>
    <w:p>
      <w:pPr>
        <w:pStyle w:val="Heading"/>
        <w:widowControl w:val="0"/>
        <w:spacing w:before="280" w:after="120"/>
      </w:pPr>
      <w:r>
        <w:rPr>
          <w:rFonts w:ascii="Calibri" w:hAnsi="Calibri"/>
          <w:i w:val="1"/>
          <w:iCs w:val="1"/>
          <w:outline w:val="0"/>
          <w:color w:val="595959"/>
          <w:sz w:val="22"/>
          <w:szCs w:val="22"/>
          <w:u w:color="595959"/>
          <w:rtl w:val="0"/>
          <w:lang w:val="en-US"/>
          <w14:textFill>
            <w14:solidFill>
              <w14:srgbClr w14:val="595959"/>
            </w14:solidFill>
          </w14:textFill>
        </w:rPr>
        <w:t>Teaching note: Across three visits the patient's presentation moved from a viral prodrome to a subacute psychiatric syndrome to a florid neuropsychiatric picture. The pattern is highly characteristic of anti-NMDAR encephalitis, in which roughly three-quarters of patients are first seen by psychiatric services, and in which an initial diagnosis of a primary psychiatric disorder is a frequent and well-documented cause of delayed immunotherapy.</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Past Medical History</w:t>
      </w:r>
    </w:p>
    <w:p>
      <w:pPr>
        <w:pStyle w:val="List Paragraph"/>
        <w:numPr>
          <w:ilvl w:val="0"/>
          <w:numId w:val="2"/>
        </w:numPr>
        <w:spacing w:after="60"/>
        <w:rPr>
          <w:sz w:val="22"/>
          <w:szCs w:val="22"/>
          <w:lang w:val="en-US"/>
        </w:rPr>
      </w:pPr>
      <w:r>
        <w:rPr>
          <w:rFonts w:ascii="Calibri" w:hAnsi="Calibri"/>
          <w:sz w:val="22"/>
          <w:szCs w:val="22"/>
          <w:rtl w:val="0"/>
          <w:lang w:val="en-US"/>
        </w:rPr>
        <w:t>No chronic medical conditions</w:t>
      </w:r>
    </w:p>
    <w:p>
      <w:pPr>
        <w:pStyle w:val="List Paragraph"/>
        <w:numPr>
          <w:ilvl w:val="0"/>
          <w:numId w:val="2"/>
        </w:numPr>
        <w:spacing w:after="60"/>
        <w:rPr>
          <w:sz w:val="22"/>
          <w:szCs w:val="22"/>
          <w:lang w:val="en-US"/>
        </w:rPr>
      </w:pPr>
      <w:r>
        <w:rPr>
          <w:rFonts w:ascii="Calibri" w:hAnsi="Calibri"/>
          <w:sz w:val="22"/>
          <w:szCs w:val="22"/>
          <w:rtl w:val="0"/>
          <w:lang w:val="en-US"/>
        </w:rPr>
        <w:t>Childhood asthma, resolved by age 12; no recent inhaler use</w:t>
      </w:r>
    </w:p>
    <w:p>
      <w:pPr>
        <w:pStyle w:val="List Paragraph"/>
        <w:numPr>
          <w:ilvl w:val="0"/>
          <w:numId w:val="2"/>
        </w:numPr>
        <w:spacing w:after="60"/>
        <w:rPr>
          <w:sz w:val="22"/>
          <w:szCs w:val="22"/>
          <w:lang w:val="en-US"/>
        </w:rPr>
      </w:pPr>
      <w:r>
        <w:rPr>
          <w:rFonts w:ascii="Calibri" w:hAnsi="Calibri"/>
          <w:sz w:val="22"/>
          <w:szCs w:val="22"/>
          <w:rtl w:val="0"/>
          <w:lang w:val="en-US"/>
        </w:rPr>
        <w:t>No prior psychiatric diagnosis, hospitalization, or medication</w:t>
      </w:r>
    </w:p>
    <w:p>
      <w:pPr>
        <w:pStyle w:val="List Paragraph"/>
        <w:numPr>
          <w:ilvl w:val="0"/>
          <w:numId w:val="2"/>
        </w:numPr>
        <w:spacing w:after="60"/>
        <w:rPr>
          <w:sz w:val="22"/>
          <w:szCs w:val="22"/>
          <w:lang w:val="en-US"/>
        </w:rPr>
      </w:pPr>
      <w:r>
        <w:rPr>
          <w:rFonts w:ascii="Calibri" w:hAnsi="Calibri"/>
          <w:sz w:val="22"/>
          <w:szCs w:val="22"/>
          <w:rtl w:val="0"/>
          <w:lang w:val="en-US"/>
        </w:rPr>
        <w:t>No history of seizures, head trauma, or CNS infection</w:t>
      </w: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Past Surgical History</w:t>
      </w:r>
    </w:p>
    <w:p>
      <w:pPr>
        <w:pStyle w:val="List Paragraph"/>
        <w:numPr>
          <w:ilvl w:val="0"/>
          <w:numId w:val="2"/>
        </w:numPr>
        <w:spacing w:after="60"/>
        <w:rPr>
          <w:sz w:val="22"/>
          <w:szCs w:val="22"/>
          <w:lang w:val="it-IT"/>
        </w:rPr>
      </w:pPr>
      <w:r>
        <w:rPr>
          <w:rFonts w:ascii="Calibri" w:hAnsi="Calibri"/>
          <w:sz w:val="22"/>
          <w:szCs w:val="22"/>
          <w:rtl w:val="0"/>
          <w:lang w:val="it-IT"/>
        </w:rPr>
        <w:t>None</w:t>
      </w: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Medications (prior to illness)</w:t>
      </w:r>
    </w:p>
    <w:p>
      <w:pPr>
        <w:pStyle w:val="List Paragraph"/>
        <w:numPr>
          <w:ilvl w:val="0"/>
          <w:numId w:val="2"/>
        </w:numPr>
        <w:spacing w:after="60"/>
        <w:rPr>
          <w:sz w:val="22"/>
          <w:szCs w:val="22"/>
          <w:lang w:val="en-US"/>
        </w:rPr>
      </w:pPr>
      <w:r>
        <w:rPr>
          <w:rFonts w:ascii="Calibri" w:hAnsi="Calibri"/>
          <w:sz w:val="22"/>
          <w:szCs w:val="22"/>
          <w:rtl w:val="0"/>
          <w:lang w:val="en-US"/>
        </w:rPr>
        <w:t>Combined oral contraceptive (ethinyl estradiol/norgestimate), daily</w:t>
      </w:r>
    </w:p>
    <w:p>
      <w:pPr>
        <w:pStyle w:val="List Paragraph"/>
        <w:numPr>
          <w:ilvl w:val="0"/>
          <w:numId w:val="2"/>
        </w:numPr>
        <w:spacing w:after="60"/>
        <w:rPr>
          <w:sz w:val="22"/>
          <w:szCs w:val="22"/>
          <w:lang w:val="en-US"/>
        </w:rPr>
      </w:pPr>
      <w:r>
        <w:rPr>
          <w:rFonts w:ascii="Calibri" w:hAnsi="Calibri"/>
          <w:sz w:val="22"/>
          <w:szCs w:val="22"/>
          <w:rtl w:val="0"/>
          <w:lang w:val="en-US"/>
        </w:rPr>
        <w:t>Lorazepam 0.5 mg PRN (prescribed at ED #2; took 3 doses total)</w:t>
      </w:r>
    </w:p>
    <w:p>
      <w:pPr>
        <w:pStyle w:val="List Paragraph"/>
        <w:numPr>
          <w:ilvl w:val="0"/>
          <w:numId w:val="2"/>
        </w:numPr>
        <w:spacing w:after="60"/>
        <w:rPr>
          <w:sz w:val="22"/>
          <w:szCs w:val="22"/>
          <w:lang w:val="en-US"/>
        </w:rPr>
      </w:pPr>
      <w:r>
        <w:rPr>
          <w:rFonts w:ascii="Calibri" w:hAnsi="Calibri"/>
          <w:sz w:val="22"/>
          <w:szCs w:val="22"/>
          <w:rtl w:val="0"/>
          <w:lang w:val="en-US"/>
        </w:rPr>
        <w:t>Haloperidol 5 mg PO BID (started at ED #3, 2 days prior to admission)</w:t>
      </w:r>
    </w:p>
    <w:p>
      <w:pPr>
        <w:pStyle w:val="Heading 2"/>
        <w:spacing w:before="200" w:after="80"/>
      </w:pPr>
      <w:r>
        <w:rPr>
          <w:rFonts w:ascii="Calibri" w:hAnsi="Calibri"/>
          <w:b w:val="1"/>
          <w:bCs w:val="1"/>
          <w:outline w:val="0"/>
          <w:color w:val="1f3864"/>
          <w:sz w:val="24"/>
          <w:szCs w:val="24"/>
          <w:u w:color="1f3864"/>
          <w:rtl w:val="0"/>
          <w:lang w:val="de-DE"/>
          <w14:textFill>
            <w14:solidFill>
              <w14:srgbClr w14:val="1F3864"/>
            </w14:solidFill>
          </w14:textFill>
        </w:rPr>
        <w:t>Allergies</w:t>
      </w:r>
    </w:p>
    <w:p>
      <w:pPr>
        <w:pStyle w:val="List Paragraph"/>
        <w:numPr>
          <w:ilvl w:val="0"/>
          <w:numId w:val="2"/>
        </w:numPr>
        <w:spacing w:after="60"/>
        <w:rPr>
          <w:sz w:val="22"/>
          <w:szCs w:val="22"/>
          <w:lang w:val="en-US"/>
        </w:rPr>
      </w:pPr>
      <w:r>
        <w:rPr>
          <w:rFonts w:ascii="Calibri" w:hAnsi="Calibri"/>
          <w:sz w:val="22"/>
          <w:szCs w:val="22"/>
          <w:rtl w:val="0"/>
          <w:lang w:val="en-US"/>
        </w:rPr>
        <w:t>No known drug allergies</w:t>
      </w: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Immunizations</w:t>
      </w:r>
    </w:p>
    <w:p>
      <w:pPr>
        <w:pStyle w:val="List Paragraph"/>
        <w:numPr>
          <w:ilvl w:val="0"/>
          <w:numId w:val="2"/>
        </w:numPr>
        <w:spacing w:after="60"/>
        <w:rPr>
          <w:sz w:val="22"/>
          <w:szCs w:val="22"/>
          <w:lang w:val="en-US"/>
        </w:rPr>
      </w:pPr>
      <w:r>
        <w:rPr>
          <w:rFonts w:ascii="Calibri" w:hAnsi="Calibri"/>
          <w:sz w:val="22"/>
          <w:szCs w:val="22"/>
          <w:rtl w:val="0"/>
          <w:lang w:val="en-US"/>
        </w:rPr>
        <w:t>Up to date, including MMR, varicella, HPV, and seasonal influenza</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Family History</w:t>
      </w:r>
    </w:p>
    <w:p>
      <w:pPr>
        <w:pStyle w:val="List Paragraph"/>
        <w:numPr>
          <w:ilvl w:val="0"/>
          <w:numId w:val="2"/>
        </w:numPr>
        <w:spacing w:after="60"/>
        <w:rPr>
          <w:sz w:val="22"/>
          <w:szCs w:val="22"/>
          <w:lang w:val="nl-NL"/>
        </w:rPr>
      </w:pPr>
      <w:r>
        <w:rPr>
          <w:rFonts w:ascii="Calibri" w:hAnsi="Calibri"/>
          <w:sz w:val="22"/>
          <w:szCs w:val="22"/>
          <w:rtl w:val="0"/>
          <w:lang w:val="nl-NL"/>
        </w:rPr>
        <w:t>Mother (52): hypothyroidism (Hashimoto's)</w:t>
      </w:r>
    </w:p>
    <w:p>
      <w:pPr>
        <w:pStyle w:val="List Paragraph"/>
        <w:numPr>
          <w:ilvl w:val="0"/>
          <w:numId w:val="2"/>
        </w:numPr>
        <w:spacing w:after="60"/>
        <w:rPr>
          <w:sz w:val="22"/>
          <w:szCs w:val="22"/>
          <w:lang w:val="en-US"/>
        </w:rPr>
      </w:pPr>
      <w:r>
        <w:rPr>
          <w:rFonts w:ascii="Calibri" w:hAnsi="Calibri"/>
          <w:sz w:val="22"/>
          <w:szCs w:val="22"/>
          <w:rtl w:val="0"/>
          <w:lang w:val="en-US"/>
        </w:rPr>
        <w:t>Father (55): hypertension</w:t>
      </w:r>
    </w:p>
    <w:p>
      <w:pPr>
        <w:pStyle w:val="List Paragraph"/>
        <w:numPr>
          <w:ilvl w:val="0"/>
          <w:numId w:val="2"/>
        </w:numPr>
        <w:spacing w:after="60"/>
        <w:rPr>
          <w:sz w:val="22"/>
          <w:szCs w:val="22"/>
          <w:lang w:val="en-US"/>
        </w:rPr>
      </w:pPr>
      <w:r>
        <w:rPr>
          <w:rFonts w:ascii="Calibri" w:hAnsi="Calibri"/>
          <w:sz w:val="22"/>
          <w:szCs w:val="22"/>
          <w:rtl w:val="0"/>
          <w:lang w:val="en-US"/>
        </w:rPr>
        <w:t>Maternal aunt: systemic lupus erythematosus</w:t>
      </w:r>
    </w:p>
    <w:p>
      <w:pPr>
        <w:pStyle w:val="List Paragraph"/>
        <w:numPr>
          <w:ilvl w:val="0"/>
          <w:numId w:val="2"/>
        </w:numPr>
        <w:spacing w:after="60"/>
        <w:rPr>
          <w:sz w:val="22"/>
          <w:szCs w:val="22"/>
          <w:lang w:val="en-US"/>
        </w:rPr>
      </w:pPr>
      <w:r>
        <w:rPr>
          <w:rFonts w:ascii="Calibri" w:hAnsi="Calibri"/>
          <w:sz w:val="22"/>
          <w:szCs w:val="22"/>
          <w:rtl w:val="0"/>
          <w:lang w:val="en-US"/>
        </w:rPr>
        <w:t>No family history of schizophrenia, bipolar disorder, epilepsy, or early dementia</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Social History</w:t>
      </w:r>
    </w:p>
    <w:p>
      <w:pPr>
        <w:pStyle w:val="List Paragraph"/>
        <w:numPr>
          <w:ilvl w:val="0"/>
          <w:numId w:val="2"/>
        </w:numPr>
        <w:spacing w:after="60"/>
        <w:rPr>
          <w:sz w:val="22"/>
          <w:szCs w:val="22"/>
          <w:lang w:val="en-US"/>
        </w:rPr>
      </w:pPr>
      <w:r>
        <w:rPr>
          <w:rFonts w:ascii="Calibri" w:hAnsi="Calibri"/>
          <w:sz w:val="22"/>
          <w:szCs w:val="22"/>
          <w:rtl w:val="0"/>
          <w:lang w:val="en-US"/>
        </w:rPr>
        <w:t>Lives with roommate in off-campus apartment; strong family support</w:t>
      </w:r>
    </w:p>
    <w:p>
      <w:pPr>
        <w:pStyle w:val="List Paragraph"/>
        <w:numPr>
          <w:ilvl w:val="0"/>
          <w:numId w:val="2"/>
        </w:numPr>
        <w:spacing w:after="60"/>
        <w:rPr>
          <w:sz w:val="22"/>
          <w:szCs w:val="22"/>
          <w:lang w:val="es-ES_tradnl"/>
        </w:rPr>
      </w:pPr>
      <w:r>
        <w:rPr>
          <w:rFonts w:ascii="Calibri" w:hAnsi="Calibri"/>
          <w:sz w:val="22"/>
          <w:szCs w:val="22"/>
          <w:rtl w:val="0"/>
          <w:lang w:val="es-ES_tradnl"/>
        </w:rPr>
        <w:t>Alcohol: 2</w:t>
      </w:r>
      <w:r>
        <w:rPr>
          <w:rFonts w:ascii="Calibri" w:hAnsi="Calibri" w:hint="default"/>
          <w:sz w:val="22"/>
          <w:szCs w:val="22"/>
          <w:rtl w:val="0"/>
        </w:rPr>
        <w:t>–</w:t>
      </w:r>
      <w:r>
        <w:rPr>
          <w:rFonts w:ascii="Calibri" w:hAnsi="Calibri"/>
          <w:sz w:val="22"/>
          <w:szCs w:val="22"/>
          <w:rtl w:val="0"/>
          <w:lang w:val="en-US"/>
        </w:rPr>
        <w:t>4 drinks on weekends; no binge pattern reported</w:t>
      </w:r>
    </w:p>
    <w:p>
      <w:pPr>
        <w:pStyle w:val="List Paragraph"/>
        <w:numPr>
          <w:ilvl w:val="0"/>
          <w:numId w:val="2"/>
        </w:numPr>
        <w:spacing w:after="60"/>
        <w:rPr>
          <w:sz w:val="22"/>
          <w:szCs w:val="22"/>
          <w:lang w:val="en-US"/>
        </w:rPr>
      </w:pPr>
      <w:r>
        <w:rPr>
          <w:rFonts w:ascii="Calibri" w:hAnsi="Calibri"/>
          <w:sz w:val="22"/>
          <w:szCs w:val="22"/>
          <w:rtl w:val="0"/>
          <w:lang w:val="en-US"/>
        </w:rPr>
        <w:t>Tobacco/vaping: never</w:t>
      </w:r>
    </w:p>
    <w:p>
      <w:pPr>
        <w:pStyle w:val="List Paragraph"/>
        <w:numPr>
          <w:ilvl w:val="0"/>
          <w:numId w:val="2"/>
        </w:numPr>
        <w:spacing w:after="60"/>
        <w:rPr>
          <w:sz w:val="22"/>
          <w:szCs w:val="22"/>
          <w:lang w:val="en-US"/>
        </w:rPr>
      </w:pPr>
      <w:r>
        <w:rPr>
          <w:rFonts w:ascii="Calibri" w:hAnsi="Calibri"/>
          <w:sz w:val="22"/>
          <w:szCs w:val="22"/>
          <w:rtl w:val="0"/>
          <w:lang w:val="en-US"/>
        </w:rPr>
        <w:t>Cannabis: tried twice in college, none in the past 2 years; no other recreational drugs (corroborated by roommate and two negative urine drug screens)</w:t>
      </w:r>
    </w:p>
    <w:p>
      <w:pPr>
        <w:pStyle w:val="List Paragraph"/>
        <w:numPr>
          <w:ilvl w:val="0"/>
          <w:numId w:val="2"/>
        </w:numPr>
        <w:spacing w:after="60"/>
        <w:rPr>
          <w:sz w:val="22"/>
          <w:szCs w:val="22"/>
          <w:lang w:val="en-US"/>
        </w:rPr>
      </w:pPr>
      <w:r>
        <w:rPr>
          <w:rFonts w:ascii="Calibri" w:hAnsi="Calibri"/>
          <w:sz w:val="22"/>
          <w:szCs w:val="22"/>
          <w:rtl w:val="0"/>
          <w:lang w:val="en-US"/>
        </w:rPr>
        <w:t>Sexually active with one male partner; uses OCP and condoms</w:t>
      </w:r>
    </w:p>
    <w:p>
      <w:pPr>
        <w:pStyle w:val="List Paragraph"/>
        <w:numPr>
          <w:ilvl w:val="0"/>
          <w:numId w:val="2"/>
        </w:numPr>
        <w:spacing w:after="60"/>
        <w:rPr>
          <w:sz w:val="22"/>
          <w:szCs w:val="22"/>
          <w:lang w:val="en-US"/>
        </w:rPr>
      </w:pPr>
      <w:r>
        <w:rPr>
          <w:rFonts w:ascii="Calibri" w:hAnsi="Calibri"/>
          <w:sz w:val="22"/>
          <w:szCs w:val="22"/>
          <w:rtl w:val="0"/>
          <w:lang w:val="en-US"/>
        </w:rPr>
        <w:t xml:space="preserve">No recent travel outside the state; no animal exposures, tick bites, or sick contacts beyond a classmate with a </w:t>
      </w:r>
      <w:r>
        <w:rPr>
          <w:rFonts w:ascii="Calibri" w:hAnsi="Calibri" w:hint="default"/>
          <w:sz w:val="22"/>
          <w:szCs w:val="22"/>
          <w:rtl w:val="1"/>
          <w:lang w:val="ar-SA" w:bidi="ar-SA"/>
        </w:rPr>
        <w:t>“</w:t>
      </w:r>
      <w:r>
        <w:rPr>
          <w:rFonts w:ascii="Calibri" w:hAnsi="Calibri"/>
          <w:sz w:val="22"/>
          <w:szCs w:val="22"/>
          <w:rtl w:val="0"/>
          <w:lang w:val="en-US"/>
        </w:rPr>
        <w:t>cold</w:t>
      </w:r>
      <w:r>
        <w:rPr>
          <w:rFonts w:ascii="Calibri" w:hAnsi="Calibri" w:hint="default"/>
          <w:sz w:val="22"/>
          <w:szCs w:val="22"/>
          <w:rtl w:val="0"/>
        </w:rPr>
        <w:t>”</w:t>
      </w:r>
    </w:p>
    <w:p>
      <w:pPr>
        <w:pStyle w:val="List Paragraph"/>
        <w:numPr>
          <w:ilvl w:val="0"/>
          <w:numId w:val="2"/>
        </w:numPr>
        <w:spacing w:after="60"/>
        <w:rPr>
          <w:sz w:val="22"/>
          <w:szCs w:val="22"/>
          <w:lang w:val="en-US"/>
        </w:rPr>
      </w:pPr>
      <w:r>
        <w:rPr>
          <w:rFonts w:ascii="Calibri" w:hAnsi="Calibri"/>
          <w:sz w:val="22"/>
          <w:szCs w:val="22"/>
          <w:rtl w:val="0"/>
          <w:lang w:val="en-US"/>
        </w:rPr>
        <w:t>High-functioning student prior to illness (GPA 3.8), no prior academic or occupational impairment</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Review of Systems (per roommate and mother; patient unable to participate reliably)</w:t>
      </w:r>
    </w:p>
    <w:p>
      <w:pPr>
        <w:pStyle w:val="List Paragraph"/>
        <w:numPr>
          <w:ilvl w:val="0"/>
          <w:numId w:val="2"/>
        </w:numPr>
        <w:spacing w:after="60"/>
        <w:rPr>
          <w:sz w:val="22"/>
          <w:szCs w:val="22"/>
          <w:lang w:val="en-US"/>
        </w:rPr>
      </w:pPr>
      <w:r>
        <w:rPr>
          <w:rFonts w:ascii="Calibri" w:hAnsi="Calibri"/>
          <w:sz w:val="22"/>
          <w:szCs w:val="22"/>
          <w:rtl w:val="0"/>
          <w:lang w:val="en-US"/>
        </w:rPr>
        <w:t>Constitutional: prodromal fever (resolved), 3</w:t>
      </w:r>
      <w:r>
        <w:rPr>
          <w:rFonts w:ascii="Calibri" w:hAnsi="Calibri" w:hint="default"/>
          <w:sz w:val="22"/>
          <w:szCs w:val="22"/>
          <w:rtl w:val="0"/>
        </w:rPr>
        <w:t>–</w:t>
      </w:r>
      <w:r>
        <w:rPr>
          <w:rFonts w:ascii="Calibri" w:hAnsi="Calibri"/>
          <w:sz w:val="22"/>
          <w:szCs w:val="22"/>
          <w:rtl w:val="0"/>
          <w:lang w:val="en-US"/>
        </w:rPr>
        <w:t>4 kg weight loss over 4 weeks, profound insomnia</w:t>
      </w:r>
    </w:p>
    <w:p>
      <w:pPr>
        <w:pStyle w:val="List Paragraph"/>
        <w:numPr>
          <w:ilvl w:val="0"/>
          <w:numId w:val="2"/>
        </w:numPr>
        <w:spacing w:after="60"/>
        <w:rPr>
          <w:sz w:val="22"/>
          <w:szCs w:val="22"/>
          <w:lang w:val="en-US"/>
        </w:rPr>
      </w:pPr>
      <w:r>
        <w:rPr>
          <w:rFonts w:ascii="Calibri" w:hAnsi="Calibri"/>
          <w:sz w:val="22"/>
          <w:szCs w:val="22"/>
          <w:rtl w:val="0"/>
          <w:lang w:val="en-US"/>
        </w:rPr>
        <w:t>Neurologic: headache, memory loss, word-finding difficulty, staring spells, new orofacial and hand movements, one witnessed generalized seizure</w:t>
      </w:r>
    </w:p>
    <w:p>
      <w:pPr>
        <w:pStyle w:val="List Paragraph"/>
        <w:numPr>
          <w:ilvl w:val="0"/>
          <w:numId w:val="2"/>
        </w:numPr>
        <w:spacing w:after="60"/>
        <w:rPr>
          <w:sz w:val="22"/>
          <w:szCs w:val="22"/>
          <w:lang w:val="en-US"/>
        </w:rPr>
      </w:pPr>
      <w:r>
        <w:rPr>
          <w:rFonts w:ascii="Calibri" w:hAnsi="Calibri"/>
          <w:sz w:val="22"/>
          <w:szCs w:val="22"/>
          <w:rtl w:val="0"/>
          <w:lang w:val="en-US"/>
        </w:rPr>
        <w:t>Psychiatric: paranoia, auditory hallucinations, agitation alternating with periods of mutism and withdrawal</w:t>
      </w:r>
    </w:p>
    <w:p>
      <w:pPr>
        <w:pStyle w:val="List Paragraph"/>
        <w:numPr>
          <w:ilvl w:val="0"/>
          <w:numId w:val="2"/>
        </w:numPr>
        <w:spacing w:after="60"/>
        <w:rPr>
          <w:sz w:val="22"/>
          <w:szCs w:val="22"/>
          <w:lang w:val="it-IT"/>
        </w:rPr>
      </w:pPr>
      <w:r>
        <w:rPr>
          <w:rFonts w:ascii="Calibri" w:hAnsi="Calibri"/>
          <w:sz w:val="22"/>
          <w:szCs w:val="22"/>
          <w:rtl w:val="0"/>
          <w:lang w:val="it-IT"/>
        </w:rPr>
        <w:t>Cardiovascular: palpitations</w:t>
      </w:r>
    </w:p>
    <w:p>
      <w:pPr>
        <w:pStyle w:val="List Paragraph"/>
        <w:numPr>
          <w:ilvl w:val="0"/>
          <w:numId w:val="2"/>
        </w:numPr>
        <w:spacing w:after="60"/>
        <w:rPr>
          <w:sz w:val="22"/>
          <w:szCs w:val="22"/>
          <w:lang w:val="en-US"/>
        </w:rPr>
      </w:pPr>
      <w:r>
        <w:rPr>
          <w:rFonts w:ascii="Calibri" w:hAnsi="Calibri"/>
          <w:sz w:val="22"/>
          <w:szCs w:val="22"/>
          <w:rtl w:val="0"/>
          <w:lang w:val="en-US"/>
        </w:rPr>
        <w:t>Respiratory: no cough or dyspnea prior to admission</w:t>
      </w:r>
    </w:p>
    <w:p>
      <w:pPr>
        <w:pStyle w:val="List Paragraph"/>
        <w:numPr>
          <w:ilvl w:val="0"/>
          <w:numId w:val="2"/>
        </w:numPr>
        <w:spacing w:after="60"/>
        <w:rPr>
          <w:sz w:val="22"/>
          <w:szCs w:val="22"/>
          <w:lang w:val="en-US"/>
        </w:rPr>
      </w:pPr>
      <w:r>
        <w:rPr>
          <w:rFonts w:ascii="Calibri" w:hAnsi="Calibri"/>
          <w:sz w:val="22"/>
          <w:szCs w:val="22"/>
          <w:rtl w:val="0"/>
          <w:lang w:val="en-US"/>
        </w:rPr>
        <w:t>GI: nausea during prodrome; decreased oral intake for 1 week</w:t>
      </w:r>
    </w:p>
    <w:p>
      <w:pPr>
        <w:pStyle w:val="List Paragraph"/>
        <w:numPr>
          <w:ilvl w:val="0"/>
          <w:numId w:val="2"/>
        </w:numPr>
        <w:spacing w:after="60"/>
        <w:rPr>
          <w:sz w:val="22"/>
          <w:szCs w:val="22"/>
          <w:lang w:val="en-US"/>
        </w:rPr>
      </w:pPr>
      <w:r>
        <w:rPr>
          <w:rFonts w:ascii="Calibri" w:hAnsi="Calibri"/>
          <w:sz w:val="22"/>
          <w:szCs w:val="22"/>
          <w:rtl w:val="0"/>
          <w:lang w:val="en-US"/>
        </w:rPr>
        <w:t xml:space="preserve">GU: no dysuria; last menstrual period 6 weeks ago (on OCP; hCG negative </w:t>
      </w:r>
      <w:r>
        <w:rPr>
          <w:rFonts w:ascii="Calibri" w:hAnsi="Calibri" w:hint="default"/>
          <w:sz w:val="22"/>
          <w:szCs w:val="22"/>
          <w:rtl w:val="0"/>
        </w:rPr>
        <w:t>×</w:t>
      </w:r>
      <w:r>
        <w:rPr>
          <w:rFonts w:ascii="Calibri" w:hAnsi="Calibri"/>
          <w:sz w:val="22"/>
          <w:szCs w:val="22"/>
          <w:rtl w:val="0"/>
        </w:rPr>
        <w:t>3)</w:t>
      </w:r>
    </w:p>
    <w:p>
      <w:pPr>
        <w:pStyle w:val="List Paragraph"/>
        <w:numPr>
          <w:ilvl w:val="0"/>
          <w:numId w:val="2"/>
        </w:numPr>
        <w:spacing w:after="60"/>
        <w:rPr>
          <w:sz w:val="22"/>
          <w:szCs w:val="22"/>
        </w:rPr>
      </w:pPr>
      <w:r>
        <w:rPr>
          <w:rFonts w:ascii="Calibri" w:hAnsi="Calibri"/>
          <w:sz w:val="22"/>
          <w:szCs w:val="22"/>
          <w:rtl w:val="0"/>
        </w:rPr>
        <w:t>Skin: no rash</w:t>
      </w:r>
    </w:p>
    <w:p>
      <w:pPr>
        <w:pStyle w:val="List Paragraph"/>
        <w:numPr>
          <w:ilvl w:val="0"/>
          <w:numId w:val="2"/>
        </w:numPr>
        <w:spacing w:after="60"/>
        <w:rPr>
          <w:sz w:val="22"/>
          <w:szCs w:val="22"/>
          <w:lang w:val="en-US"/>
        </w:rPr>
      </w:pPr>
      <w:r>
        <w:rPr>
          <w:rFonts w:ascii="Calibri" w:hAnsi="Calibri"/>
          <w:sz w:val="22"/>
          <w:szCs w:val="22"/>
          <w:rtl w:val="0"/>
          <w:lang w:val="en-US"/>
        </w:rPr>
        <w:t>Musculoskeletal: no joint pain or swelling</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Physical Examination (Day 0, inpatient medicine)</w:t>
      </w: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Vital Signs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600"/>
        <w:gridCol w:w="4360"/>
      </w:tblGrid>
      <w:tr>
        <w:tblPrEx>
          <w:shd w:val="clear" w:color="auto" w:fill="4f81bd"/>
        </w:tblPrEx>
        <w:trPr>
          <w:trHeight w:val="226" w:hRule="atLeast"/>
          <w:tblHeader/>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pt-PT"/>
              </w:rPr>
              <w:t>Parameter</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Value</w:t>
            </w:r>
          </w:p>
        </w:tc>
        <w:tc>
          <w:tcPr>
            <w:tcW w:type="dxa" w:w="43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20"/>
                <w:szCs w:val="20"/>
                <w:u w:color="000000"/>
                <w:shd w:val="nil" w:color="auto" w:fill="auto"/>
                <w:rtl w:val="0"/>
                <w:lang w:val="en-US"/>
              </w:rPr>
              <w:t>Comment</w:t>
            </w:r>
          </w:p>
        </w:tc>
      </w:tr>
      <w:tr>
        <w:tblPrEx>
          <w:shd w:val="clear" w:color="auto" w:fill="ced7e7"/>
        </w:tblPrEx>
        <w:trPr>
          <w:trHeight w:val="226"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it-IT"/>
              </w:rPr>
              <w:t>Temperature</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 xml:space="preserve">39.2 </w:t>
            </w:r>
            <w:r>
              <w:rPr>
                <w:rFonts w:ascii="Calibri" w:hAnsi="Calibri" w:hint="default"/>
                <w:sz w:val="20"/>
                <w:szCs w:val="20"/>
                <w:u w:color="000000"/>
                <w:shd w:val="nil" w:color="auto" w:fill="auto"/>
                <w:rtl w:val="0"/>
                <w:lang w:val="it-IT"/>
              </w:rPr>
              <w:t>°</w:t>
            </w:r>
            <w:r>
              <w:rPr>
                <w:rFonts w:ascii="Calibri" w:hAnsi="Calibri"/>
                <w:sz w:val="20"/>
                <w:szCs w:val="20"/>
                <w:u w:color="000000"/>
                <w:shd w:val="nil" w:color="auto" w:fill="auto"/>
                <w:rtl w:val="0"/>
              </w:rPr>
              <w:t xml:space="preserve">C (102.6 </w:t>
            </w:r>
            <w:r>
              <w:rPr>
                <w:rFonts w:ascii="Calibri" w:hAnsi="Calibri" w:hint="default"/>
                <w:sz w:val="20"/>
                <w:szCs w:val="20"/>
                <w:u w:color="000000"/>
                <w:shd w:val="nil" w:color="auto" w:fill="auto"/>
                <w:rtl w:val="0"/>
                <w:lang w:val="it-IT"/>
              </w:rPr>
              <w:t>°</w:t>
            </w:r>
            <w:r>
              <w:rPr>
                <w:rFonts w:ascii="Calibri" w:hAnsi="Calibri"/>
                <w:sz w:val="20"/>
                <w:szCs w:val="20"/>
                <w:u w:color="000000"/>
                <w:shd w:val="nil" w:color="auto" w:fill="auto"/>
                <w:rtl w:val="0"/>
              </w:rPr>
              <w:t>F)</w:t>
            </w:r>
          </w:p>
        </w:tc>
        <w:tc>
          <w:tcPr>
            <w:tcW w:type="dxa" w:w="43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Hyperthermia</w:t>
            </w:r>
          </w:p>
        </w:tc>
      </w:tr>
      <w:tr>
        <w:tblPrEx>
          <w:shd w:val="clear" w:color="auto" w:fill="ced7e7"/>
        </w:tblPrEx>
        <w:trPr>
          <w:trHeight w:val="529"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Heart rate</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pt-PT"/>
              </w:rPr>
              <w:t>134 bpm, regular</w:t>
            </w:r>
          </w:p>
        </w:tc>
        <w:tc>
          <w:tcPr>
            <w:tcW w:type="dxa" w:w="43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Sinus tachycardia; fluctuating 70</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lang w:val="en-US"/>
              </w:rPr>
              <w:t>140 over prior 12 h</w:t>
            </w:r>
          </w:p>
        </w:tc>
      </w:tr>
      <w:tr>
        <w:tblPrEx>
          <w:shd w:val="clear" w:color="auto" w:fill="ced7e7"/>
        </w:tblPrEx>
        <w:trPr>
          <w:trHeight w:val="226"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Blood pressure</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162/98 mmHg</w:t>
            </w:r>
          </w:p>
        </w:tc>
        <w:tc>
          <w:tcPr>
            <w:tcW w:type="dxa" w:w="43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it-IT"/>
              </w:rPr>
              <w:t xml:space="preserve">Labile; range 88/50 </w:t>
            </w:r>
            <w:r>
              <w:rPr>
                <w:rFonts w:ascii="Calibri" w:hAnsi="Calibri" w:hint="default"/>
                <w:sz w:val="20"/>
                <w:szCs w:val="20"/>
                <w:u w:color="000000"/>
                <w:shd w:val="nil" w:color="auto" w:fill="auto"/>
                <w:rtl w:val="0"/>
              </w:rPr>
              <w:t xml:space="preserve">– </w:t>
            </w:r>
            <w:r>
              <w:rPr>
                <w:rFonts w:ascii="Calibri" w:hAnsi="Calibri"/>
                <w:sz w:val="20"/>
                <w:szCs w:val="20"/>
                <w:u w:color="000000"/>
                <w:shd w:val="nil" w:color="auto" w:fill="auto"/>
                <w:rtl w:val="0"/>
              </w:rPr>
              <w:t>170/104 over 12 h</w:t>
            </w:r>
          </w:p>
        </w:tc>
      </w:tr>
      <w:tr>
        <w:tblPrEx>
          <w:shd w:val="clear" w:color="auto" w:fill="ced7e7"/>
        </w:tblPrEx>
        <w:trPr>
          <w:trHeight w:val="226"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Respiratory rate</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26 /min</w:t>
            </w:r>
          </w:p>
        </w:tc>
        <w:tc>
          <w:tcPr>
            <w:tcW w:type="dxa" w:w="43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Periods of shallow breathing noted by nursing</w:t>
            </w:r>
          </w:p>
        </w:tc>
      </w:tr>
      <w:tr>
        <w:tblPrEx>
          <w:shd w:val="clear" w:color="auto" w:fill="ced7e7"/>
        </w:tblPrEx>
        <w:trPr>
          <w:trHeight w:val="226"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SpO</w:t>
            </w:r>
            <w:r>
              <w:rPr>
                <w:rFonts w:ascii="Calibri" w:hAnsi="Calibri" w:hint="default"/>
                <w:sz w:val="20"/>
                <w:szCs w:val="20"/>
                <w:u w:color="000000"/>
                <w:shd w:val="nil" w:color="auto" w:fill="auto"/>
                <w:rtl w:val="0"/>
              </w:rPr>
              <w:t>₂</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94% on room air</w:t>
            </w:r>
          </w:p>
        </w:tc>
        <w:tc>
          <w:tcPr>
            <w:tcW w:type="dxa" w:w="43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Improved to 98% on 2 L nasal cannula</w:t>
            </w:r>
          </w:p>
        </w:tc>
      </w:tr>
      <w:tr>
        <w:tblPrEx>
          <w:shd w:val="clear" w:color="auto" w:fill="ced7e7"/>
        </w:tblPrEx>
        <w:trPr>
          <w:trHeight w:val="226"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Weight / BMI</w:t>
            </w:r>
          </w:p>
        </w:tc>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56 kg / 21.2</w:t>
            </w:r>
          </w:p>
        </w:tc>
        <w:tc>
          <w:tcPr>
            <w:tcW w:type="dxa" w:w="43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Down from ~60 kg baseline</w:t>
            </w:r>
          </w:p>
        </w:tc>
      </w:tr>
    </w:tbl>
    <w:p>
      <w:pPr>
        <w:pStyle w:val="Heading 2"/>
        <w:widowControl w:val="0"/>
        <w:spacing w:before="200" w:after="80"/>
      </w:pPr>
    </w:p>
    <w:p>
      <w:pPr>
        <w:pStyle w:val="Heading 2"/>
        <w:widowControl w:val="0"/>
        <w:spacing w:before="200" w:after="80"/>
      </w:pPr>
    </w:p>
    <w:p>
      <w:pPr>
        <w:pStyle w:val="Heading 2"/>
        <w:spacing w:before="200" w:after="80"/>
      </w:pPr>
      <w:r>
        <w:rPr>
          <w:rFonts w:ascii="Calibri" w:hAnsi="Calibri"/>
          <w:b w:val="1"/>
          <w:bCs w:val="1"/>
          <w:outline w:val="0"/>
          <w:color w:val="1f3864"/>
          <w:sz w:val="24"/>
          <w:szCs w:val="24"/>
          <w:u w:color="1f3864"/>
          <w:rtl w:val="0"/>
          <w14:textFill>
            <w14:solidFill>
              <w14:srgbClr w14:val="1F3864"/>
            </w14:solidFill>
          </w14:textFill>
        </w:rPr>
        <w:t>General</w:t>
      </w:r>
    </w:p>
    <w:p>
      <w:pPr>
        <w:pStyle w:val="Heading 2"/>
        <w:spacing w:before="200" w:after="80"/>
      </w:pPr>
      <w:r>
        <w:rPr>
          <w:rFonts w:ascii="Calibri" w:hAnsi="Calibri"/>
          <w:outline w:val="0"/>
          <w:color w:val="000000"/>
          <w:sz w:val="22"/>
          <w:szCs w:val="22"/>
          <w:u w:color="000000"/>
          <w:rtl w:val="0"/>
          <w:lang w:val="en-US"/>
          <w14:textFill>
            <w14:solidFill>
              <w14:srgbClr w14:val="000000"/>
            </w14:solidFill>
          </w14:textFill>
        </w:rPr>
        <w:t>Young woman lying in bed, diaphoretic, intermittently agitated and thrashing, then abruptly mute and staring. Does not follow commands consistently. Speech limited to perseverative single words (</w:t>
      </w:r>
      <w:r>
        <w:rPr>
          <w:rFonts w:ascii="Calibri" w:hAnsi="Calibri" w:hint="default"/>
          <w:outline w:val="0"/>
          <w:color w:val="000000"/>
          <w:sz w:val="22"/>
          <w:szCs w:val="22"/>
          <w:u w:color="000000"/>
          <w:rtl w:val="1"/>
          <w:lang w:val="ar-SA" w:bidi="ar-SA"/>
          <w14:textFill>
            <w14:solidFill>
              <w14:srgbClr w14:val="000000"/>
            </w14:solidFill>
          </w14:textFill>
        </w:rPr>
        <w:t>“</w:t>
      </w:r>
      <w:r>
        <w:rPr>
          <w:rFonts w:ascii="Calibri" w:hAnsi="Calibri"/>
          <w:outline w:val="0"/>
          <w:color w:val="000000"/>
          <w:sz w:val="22"/>
          <w:szCs w:val="22"/>
          <w:u w:color="000000"/>
          <w:rtl w:val="0"/>
          <w:lang w:val="it-IT"/>
          <w14:textFill>
            <w14:solidFill>
              <w14:srgbClr w14:val="000000"/>
            </w14:solidFill>
          </w14:textFill>
        </w:rPr>
        <w:t>no, no, no</w:t>
      </w:r>
      <w:r>
        <w:rPr>
          <w:rFonts w:ascii="Calibri" w:hAnsi="Calibri" w:hint="default"/>
          <w:outline w:val="0"/>
          <w:color w:val="000000"/>
          <w:sz w:val="22"/>
          <w:szCs w:val="22"/>
          <w:u w:color="000000"/>
          <w:rtl w:val="0"/>
          <w14:textFill>
            <w14:solidFill>
              <w14:srgbClr w14:val="000000"/>
            </w14:solidFill>
          </w14:textFill>
        </w:rPr>
        <w:t>”</w:t>
      </w:r>
      <w:r>
        <w:rPr>
          <w:rFonts w:ascii="Calibri" w:hAnsi="Calibri"/>
          <w:outline w:val="0"/>
          <w:color w:val="000000"/>
          <w:sz w:val="22"/>
          <w:szCs w:val="22"/>
          <w:u w:color="000000"/>
          <w:rtl w:val="0"/>
          <w14:textFill>
            <w14:solidFill>
              <w14:srgbClr w14:val="000000"/>
            </w14:solidFill>
          </w14:textFill>
        </w:rPr>
        <w:t>).</w:t>
      </w:r>
    </w:p>
    <w:p>
      <w:pPr>
        <w:pStyle w:val="Heading 2"/>
        <w:spacing w:before="200" w:after="80"/>
      </w:pPr>
      <w:r>
        <w:rPr>
          <w:rFonts w:ascii="Calibri" w:hAnsi="Calibri"/>
          <w:b w:val="1"/>
          <w:bCs w:val="1"/>
          <w:outline w:val="0"/>
          <w:color w:val="1f3864"/>
          <w:sz w:val="24"/>
          <w:szCs w:val="24"/>
          <w:u w:color="1f3864"/>
          <w:rtl w:val="0"/>
          <w:lang w:val="de-DE"/>
          <w14:textFill>
            <w14:solidFill>
              <w14:srgbClr w14:val="1F3864"/>
            </w14:solidFill>
          </w14:textFill>
        </w:rPr>
        <w:t>HEENT / Neck</w:t>
      </w:r>
    </w:p>
    <w:p>
      <w:pPr>
        <w:pStyle w:val="Heading 2"/>
        <w:spacing w:before="200" w:after="80"/>
      </w:pPr>
      <w:r>
        <w:rPr>
          <w:rFonts w:ascii="Calibri" w:hAnsi="Calibri"/>
          <w:outline w:val="0"/>
          <w:color w:val="000000"/>
          <w:sz w:val="22"/>
          <w:szCs w:val="22"/>
          <w:u w:color="000000"/>
          <w:rtl w:val="0"/>
          <w:lang w:val="en-US"/>
          <w14:textFill>
            <w14:solidFill>
              <w14:srgbClr w14:val="000000"/>
            </w14:solidFill>
          </w14:textFill>
        </w:rPr>
        <w:t>Pupils 5 mm, equal, sluggishly reactive. Continuous orofacial dyskinesias: lip smacking, jaw opening/closing, tongue protrusion. Bite injury on the lateral tongue. Oropharynx clear. Neck supple; no meningismus.</w:t>
      </w:r>
    </w:p>
    <w:p>
      <w:pPr>
        <w:pStyle w:val="Heading 2"/>
        <w:spacing w:before="200" w:after="80"/>
      </w:pPr>
      <w:r>
        <w:rPr>
          <w:rFonts w:ascii="Calibri" w:hAnsi="Calibri"/>
          <w:b w:val="1"/>
          <w:bCs w:val="1"/>
          <w:outline w:val="0"/>
          <w:color w:val="1f3864"/>
          <w:sz w:val="24"/>
          <w:szCs w:val="24"/>
          <w:u w:color="1f3864"/>
          <w:rtl w:val="0"/>
          <w:lang w:val="it-IT"/>
          <w14:textFill>
            <w14:solidFill>
              <w14:srgbClr w14:val="1F3864"/>
            </w14:solidFill>
          </w14:textFill>
        </w:rPr>
        <w:t>Cardiovascular / Respiratory / Abdomen</w:t>
      </w:r>
    </w:p>
    <w:p>
      <w:pPr>
        <w:pStyle w:val="Heading 2"/>
        <w:spacing w:before="200" w:after="80"/>
      </w:pPr>
      <w:r>
        <w:rPr>
          <w:rFonts w:ascii="Calibri" w:hAnsi="Calibri"/>
          <w:outline w:val="0"/>
          <w:color w:val="000000"/>
          <w:sz w:val="22"/>
          <w:szCs w:val="22"/>
          <w:u w:color="000000"/>
          <w:rtl w:val="0"/>
          <w:lang w:val="en-US"/>
          <w14:textFill>
            <w14:solidFill>
              <w14:srgbClr w14:val="000000"/>
            </w14:solidFill>
          </w14:textFill>
        </w:rPr>
        <w:t>Tachycardic, regular, no murmurs. Lungs clear bilaterally with reduced excursion. Abdomen soft, non-tender, no organomegaly, no palpable masses.</w:t>
      </w:r>
    </w:p>
    <w:p>
      <w:pPr>
        <w:pStyle w:val="Heading 2"/>
        <w:spacing w:before="200" w:after="80"/>
      </w:pPr>
      <w:r>
        <w:rPr>
          <w:rFonts w:ascii="Calibri" w:hAnsi="Calibri"/>
          <w:b w:val="1"/>
          <w:bCs w:val="1"/>
          <w:outline w:val="0"/>
          <w:color w:val="1f3864"/>
          <w:sz w:val="24"/>
          <w:szCs w:val="24"/>
          <w:u w:color="1f3864"/>
          <w:rtl w:val="0"/>
          <w:lang w:val="da-DK"/>
          <w14:textFill>
            <w14:solidFill>
              <w14:srgbClr w14:val="1F3864"/>
            </w14:solidFill>
          </w14:textFill>
        </w:rPr>
        <w:t>Skin</w:t>
      </w:r>
    </w:p>
    <w:p>
      <w:pPr>
        <w:pStyle w:val="Heading 2"/>
        <w:spacing w:before="200" w:after="80"/>
      </w:pPr>
      <w:r>
        <w:rPr>
          <w:rFonts w:ascii="Calibri" w:hAnsi="Calibri"/>
          <w:outline w:val="0"/>
          <w:color w:val="000000"/>
          <w:sz w:val="22"/>
          <w:szCs w:val="22"/>
          <w:u w:color="000000"/>
          <w:rtl w:val="0"/>
          <w:lang w:val="en-US"/>
          <w14:textFill>
            <w14:solidFill>
              <w14:srgbClr w14:val="000000"/>
            </w14:solidFill>
          </w14:textFill>
        </w:rPr>
        <w:t>Diaphoretic. No rash, no petechiae, no needle marks.</w:t>
      </w:r>
    </w:p>
    <w:p>
      <w:pPr>
        <w:pStyle w:val="Heading 2"/>
        <w:spacing w:before="200" w:after="80"/>
      </w:pPr>
      <w:r>
        <w:rPr>
          <w:rFonts w:ascii="Calibri" w:hAnsi="Calibri"/>
          <w:b w:val="1"/>
          <w:bCs w:val="1"/>
          <w:outline w:val="0"/>
          <w:color w:val="1f3864"/>
          <w:sz w:val="24"/>
          <w:szCs w:val="24"/>
          <w:u w:color="1f3864"/>
          <w:rtl w:val="0"/>
          <w14:textFill>
            <w14:solidFill>
              <w14:srgbClr w14:val="1F3864"/>
            </w14:solidFill>
          </w14:textFill>
        </w:rPr>
        <w:t>Neurologic</w:t>
      </w:r>
    </w:p>
    <w:p>
      <w:pPr>
        <w:pStyle w:val="List Paragraph"/>
        <w:numPr>
          <w:ilvl w:val="0"/>
          <w:numId w:val="2"/>
        </w:numPr>
        <w:spacing w:after="60"/>
        <w:rPr>
          <w:sz w:val="22"/>
          <w:szCs w:val="22"/>
          <w:lang w:val="en-US"/>
        </w:rPr>
      </w:pPr>
      <w:r>
        <w:rPr>
          <w:rFonts w:ascii="Calibri" w:hAnsi="Calibri"/>
          <w:sz w:val="22"/>
          <w:szCs w:val="22"/>
          <w:rtl w:val="0"/>
          <w:lang w:val="en-US"/>
        </w:rPr>
        <w:t>Mental status: fluctuating level of consciousness; GCS 10</w:t>
      </w:r>
      <w:r>
        <w:rPr>
          <w:rFonts w:ascii="Calibri" w:hAnsi="Calibri" w:hint="default"/>
          <w:sz w:val="22"/>
          <w:szCs w:val="22"/>
          <w:rtl w:val="0"/>
        </w:rPr>
        <w:t>–</w:t>
      </w:r>
      <w:r>
        <w:rPr>
          <w:rFonts w:ascii="Calibri" w:hAnsi="Calibri"/>
          <w:sz w:val="22"/>
          <w:szCs w:val="22"/>
          <w:rtl w:val="0"/>
        </w:rPr>
        <w:t>13 (E4 V1</w:t>
      </w:r>
      <w:r>
        <w:rPr>
          <w:rFonts w:ascii="Calibri" w:hAnsi="Calibri" w:hint="default"/>
          <w:sz w:val="22"/>
          <w:szCs w:val="22"/>
          <w:rtl w:val="0"/>
        </w:rPr>
        <w:t>–</w:t>
      </w:r>
      <w:r>
        <w:rPr>
          <w:rFonts w:ascii="Calibri" w:hAnsi="Calibri"/>
          <w:sz w:val="22"/>
          <w:szCs w:val="22"/>
          <w:rtl w:val="0"/>
          <w:lang w:val="it-IT"/>
        </w:rPr>
        <w:t>3 M5</w:t>
      </w:r>
      <w:r>
        <w:rPr>
          <w:rFonts w:ascii="Calibri" w:hAnsi="Calibri" w:hint="default"/>
          <w:sz w:val="22"/>
          <w:szCs w:val="22"/>
          <w:rtl w:val="0"/>
        </w:rPr>
        <w:t>–</w:t>
      </w:r>
      <w:r>
        <w:rPr>
          <w:rFonts w:ascii="Calibri" w:hAnsi="Calibri"/>
          <w:sz w:val="22"/>
          <w:szCs w:val="22"/>
          <w:rtl w:val="0"/>
          <w:lang w:val="en-US"/>
        </w:rPr>
        <w:t>6). Not oriented. Cannot participate in formal cognitive testing.</w:t>
      </w:r>
    </w:p>
    <w:p>
      <w:pPr>
        <w:pStyle w:val="List Paragraph"/>
        <w:numPr>
          <w:ilvl w:val="0"/>
          <w:numId w:val="2"/>
        </w:numPr>
        <w:spacing w:after="60"/>
        <w:rPr>
          <w:sz w:val="22"/>
          <w:szCs w:val="22"/>
          <w:lang w:val="en-US"/>
        </w:rPr>
      </w:pPr>
      <w:r>
        <w:rPr>
          <w:rFonts w:ascii="Calibri" w:hAnsi="Calibri"/>
          <w:sz w:val="22"/>
          <w:szCs w:val="22"/>
          <w:rtl w:val="0"/>
          <w:lang w:val="en-US"/>
        </w:rPr>
        <w:t>Cranial nerves: pupils as above; intermittent conjugate gaze deviation to the right; face symmetric between dyskinetic movements; gag present.</w:t>
      </w:r>
    </w:p>
    <w:p>
      <w:pPr>
        <w:pStyle w:val="List Paragraph"/>
        <w:numPr>
          <w:ilvl w:val="0"/>
          <w:numId w:val="2"/>
        </w:numPr>
        <w:spacing w:after="60"/>
        <w:rPr>
          <w:sz w:val="22"/>
          <w:szCs w:val="22"/>
          <w:lang w:val="en-US"/>
        </w:rPr>
      </w:pPr>
      <w:r>
        <w:rPr>
          <w:rFonts w:ascii="Calibri" w:hAnsi="Calibri"/>
          <w:sz w:val="22"/>
          <w:szCs w:val="22"/>
          <w:rtl w:val="0"/>
          <w:lang w:val="en-US"/>
        </w:rPr>
        <w:t>Motor: diffuse, waxy increased tone with elements of both rigidity and catatonic posturing (holds limbs in positions where placed); choreoathetoid movements of the fingers bilaterally; no focal weakness identified.</w:t>
      </w:r>
    </w:p>
    <w:p>
      <w:pPr>
        <w:pStyle w:val="List Paragraph"/>
        <w:numPr>
          <w:ilvl w:val="0"/>
          <w:numId w:val="2"/>
        </w:numPr>
        <w:spacing w:after="60"/>
        <w:rPr>
          <w:sz w:val="22"/>
          <w:szCs w:val="22"/>
          <w:lang w:val="en-US"/>
        </w:rPr>
      </w:pPr>
      <w:r>
        <w:rPr>
          <w:rFonts w:ascii="Calibri" w:hAnsi="Calibri"/>
          <w:sz w:val="22"/>
          <w:szCs w:val="22"/>
          <w:rtl w:val="0"/>
          <w:lang w:val="en-US"/>
        </w:rPr>
        <w:t>Reflexes: 3+ symmetric throughout; plantar responses flexor.</w:t>
      </w:r>
    </w:p>
    <w:p>
      <w:pPr>
        <w:pStyle w:val="List Paragraph"/>
        <w:numPr>
          <w:ilvl w:val="0"/>
          <w:numId w:val="2"/>
        </w:numPr>
        <w:spacing w:after="60"/>
        <w:rPr>
          <w:sz w:val="22"/>
          <w:szCs w:val="22"/>
          <w:lang w:val="en-US"/>
        </w:rPr>
      </w:pPr>
      <w:r>
        <w:rPr>
          <w:rFonts w:ascii="Calibri" w:hAnsi="Calibri"/>
          <w:sz w:val="22"/>
          <w:szCs w:val="22"/>
          <w:rtl w:val="0"/>
          <w:lang w:val="en-US"/>
        </w:rPr>
        <w:t>Sensory / coordination: unable to assess.</w:t>
      </w:r>
    </w:p>
    <w:p>
      <w:pPr>
        <w:pStyle w:val="List Paragraph"/>
        <w:numPr>
          <w:ilvl w:val="0"/>
          <w:numId w:val="2"/>
        </w:numPr>
        <w:spacing w:after="60"/>
        <w:rPr>
          <w:sz w:val="22"/>
          <w:szCs w:val="22"/>
          <w:lang w:val="en-US"/>
        </w:rPr>
      </w:pPr>
      <w:r>
        <w:rPr>
          <w:rFonts w:ascii="Calibri" w:hAnsi="Calibri"/>
          <w:sz w:val="22"/>
          <w:szCs w:val="22"/>
          <w:rtl w:val="0"/>
          <w:lang w:val="en-US"/>
        </w:rPr>
        <w:t>Catatonic features: negativism, echolalia, posturing (Bush-Francis Catatonia Rating Scale estimated 18).</w:t>
      </w:r>
    </w:p>
    <w:p>
      <w:pPr>
        <w:pStyle w:val="Heading 2"/>
        <w:spacing w:before="200" w:after="80"/>
      </w:pPr>
      <w:r>
        <w:rPr>
          <w:rFonts w:ascii="Calibri" w:hAnsi="Calibri"/>
          <w:b w:val="1"/>
          <w:bCs w:val="1"/>
          <w:outline w:val="0"/>
          <w:color w:val="1f3864"/>
          <w:sz w:val="24"/>
          <w:szCs w:val="24"/>
          <w:u w:color="1f3864"/>
          <w:rtl w:val="0"/>
          <w14:textFill>
            <w14:solidFill>
              <w14:srgbClr w14:val="1F3864"/>
            </w14:solidFill>
          </w14:textFill>
        </w:rPr>
        <w:t>Psychiatric</w:t>
      </w:r>
    </w:p>
    <w:p>
      <w:pPr>
        <w:pStyle w:val="Heading 2"/>
        <w:spacing w:before="200" w:after="80"/>
      </w:pPr>
      <w:r>
        <w:rPr>
          <w:rFonts w:ascii="Calibri" w:hAnsi="Calibri"/>
          <w:outline w:val="0"/>
          <w:color w:val="000000"/>
          <w:sz w:val="22"/>
          <w:szCs w:val="22"/>
          <w:u w:color="000000"/>
          <w:rtl w:val="0"/>
          <w:lang w:val="en-US"/>
          <w14:textFill>
            <w14:solidFill>
              <w14:srgbClr w14:val="000000"/>
            </w14:solidFill>
          </w14:textFill>
        </w:rPr>
        <w:t>Affect labile, ranging from terror to blank. Responds to internal stimuli. No coherent thought content elicitable. Insight and judgment absent.</w:t>
      </w:r>
    </w:p>
    <w:p>
      <w:pPr>
        <w:pStyle w:val="Heading"/>
        <w:spacing w:before="280" w:after="120"/>
      </w:pPr>
      <w:r>
        <w:rPr>
          <w:rFonts w:ascii="Calibri" w:hAnsi="Calibri"/>
          <w:b w:val="1"/>
          <w:bCs w:val="1"/>
          <w:outline w:val="0"/>
          <w:color w:val="1f3864"/>
          <w:sz w:val="28"/>
          <w:szCs w:val="28"/>
          <w:u w:color="1f3864"/>
          <w:rtl w:val="0"/>
          <w:lang w:val="de-DE"/>
          <w14:textFill>
            <w14:solidFill>
              <w14:srgbClr w14:val="1F3864"/>
            </w14:solidFill>
          </w14:textFill>
        </w:rPr>
        <w:t>Diagnostic Studies</w:t>
      </w: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Laboratory Results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2200"/>
        <w:gridCol w:w="1700"/>
        <w:gridCol w:w="2960"/>
      </w:tblGrid>
      <w:tr>
        <w:tblPrEx>
          <w:shd w:val="clear" w:color="auto" w:fill="4f81bd"/>
        </w:tblPrEx>
        <w:trPr>
          <w:trHeight w:val="226" w:hRule="atLeast"/>
          <w:tblHeader/>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Test</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Result</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Reference</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it-IT"/>
              </w:rPr>
              <w:t>Interpretation</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WBC</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 xml:space="preserve">11.8 </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10</w:t>
            </w:r>
            <w:r>
              <w:rPr>
                <w:rFonts w:ascii="Calibri" w:hAnsi="Calibri" w:hint="default"/>
                <w:sz w:val="20"/>
                <w:szCs w:val="20"/>
                <w:u w:color="000000"/>
                <w:shd w:val="nil" w:color="auto" w:fill="auto"/>
                <w:rtl w:val="0"/>
              </w:rPr>
              <w:t>⁹</w:t>
            </w:r>
            <w:r>
              <w:rPr>
                <w:rFonts w:ascii="Calibri" w:hAnsi="Calibri"/>
                <w:sz w:val="20"/>
                <w:szCs w:val="20"/>
                <w:u w:color="000000"/>
                <w:shd w:val="nil" w:color="auto" w:fill="auto"/>
                <w:rtl w:val="0"/>
              </w:rPr>
              <w:t>/L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4.0</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11.0</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nl-NL"/>
              </w:rPr>
              <w:t>Mild leukocytosis</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Hemoglobin</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12.9 g/dL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12.0</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16.0</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rPr>
              <w:t>Normal</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Platelets</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 xml:space="preserve">268 </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10</w:t>
            </w:r>
            <w:r>
              <w:rPr>
                <w:rFonts w:ascii="Calibri" w:hAnsi="Calibri" w:hint="default"/>
                <w:sz w:val="20"/>
                <w:szCs w:val="20"/>
                <w:u w:color="000000"/>
                <w:shd w:val="nil" w:color="auto" w:fill="auto"/>
                <w:rtl w:val="0"/>
              </w:rPr>
              <w:t>⁹</w:t>
            </w:r>
            <w:r>
              <w:rPr>
                <w:rFonts w:ascii="Calibri" w:hAnsi="Calibri"/>
                <w:sz w:val="20"/>
                <w:szCs w:val="20"/>
                <w:u w:color="000000"/>
                <w:shd w:val="nil" w:color="auto" w:fill="auto"/>
                <w:rtl w:val="0"/>
              </w:rPr>
              <w:t>/L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150</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400</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rPr>
              <w:t>Normal</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Sodium</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it-IT"/>
              </w:rPr>
              <w:t>134 mmol/L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135</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145</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Mildly low</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Creatinine</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0.8 mg/dL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0.5</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1.0</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rPr>
              <w:t>Normal</w:t>
            </w:r>
          </w:p>
        </w:tc>
      </w:tr>
      <w:tr>
        <w:tblPrEx>
          <w:shd w:val="clear" w:color="auto" w:fill="ced7e7"/>
        </w:tblPrEx>
        <w:trPr>
          <w:trHeight w:val="529"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Creatine kinase</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1,840 U/L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30</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200</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Elevated (agitation, rigidity, seizure)</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it-IT"/>
              </w:rPr>
              <w:t>Ammonia</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 xml:space="preserve">22 </w:t>
            </w:r>
            <w:r>
              <w:rPr>
                <w:rFonts w:ascii="Calibri" w:hAnsi="Calibri" w:hint="default"/>
                <w:sz w:val="20"/>
                <w:szCs w:val="20"/>
                <w:u w:color="000000"/>
                <w:shd w:val="nil" w:color="auto" w:fill="auto"/>
                <w:rtl w:val="0"/>
              </w:rPr>
              <w:t>µ</w:t>
            </w:r>
            <w:r>
              <w:rPr>
                <w:rFonts w:ascii="Calibri" w:hAnsi="Calibri"/>
                <w:sz w:val="20"/>
                <w:szCs w:val="20"/>
                <w:u w:color="000000"/>
                <w:shd w:val="nil" w:color="auto" w:fill="auto"/>
                <w:rtl w:val="0"/>
                <w:lang w:val="it-IT"/>
              </w:rPr>
              <w:t>mol/L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11</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35</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rPr>
              <w:t>Normal</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TSH / free T4</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2.1 mIU/L / 1.1 ng/dL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Normal</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rPr>
              <w:t>Normal</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Urine drug screen (</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lang w:val="en-US"/>
              </w:rPr>
              <w:t>3 total)</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fr-FR"/>
              </w:rPr>
              <w:t>Negative</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hint="default"/>
                <w:sz w:val="20"/>
                <w:szCs w:val="20"/>
                <w:u w:color="000000"/>
                <w:shd w:val="nil" w:color="auto" w:fill="auto"/>
                <w:rtl w:val="0"/>
                <w:lang w:val="en-US"/>
              </w:rPr>
              <w:t>—</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pt-PT"/>
              </w:rPr>
              <w:t>No intoxicant</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Urine hCG</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fr-FR"/>
              </w:rPr>
              <w:t>Negative</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hint="default"/>
                <w:sz w:val="20"/>
                <w:szCs w:val="20"/>
                <w:u w:color="000000"/>
                <w:shd w:val="nil" w:color="auto" w:fill="auto"/>
                <w:rtl w:val="0"/>
                <w:lang w:val="en-US"/>
              </w:rPr>
              <w:t>—</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Not pregnant</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HIV Ag/Ab, RPR</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Non-reactive</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hint="default"/>
                <w:sz w:val="20"/>
                <w:szCs w:val="20"/>
                <w:u w:color="000000"/>
                <w:shd w:val="nil" w:color="auto" w:fill="auto"/>
                <w:rtl w:val="0"/>
                <w:lang w:val="en-US"/>
              </w:rPr>
              <w:t>—</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fr-FR"/>
              </w:rPr>
              <w:t>Negative</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ANA</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1:80 speckled</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&lt;1:40</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Low-titer, non-specific</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 xml:space="preserve">Blood cultures </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2</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No growth at 48 h</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hint="default"/>
                <w:sz w:val="20"/>
                <w:szCs w:val="20"/>
                <w:u w:color="000000"/>
                <w:shd w:val="nil" w:color="auto" w:fill="auto"/>
                <w:rtl w:val="0"/>
                <w:lang w:val="en-US"/>
              </w:rPr>
              <w:t>—</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fr-FR"/>
              </w:rPr>
              <w:t>Negative</w:t>
            </w:r>
          </w:p>
        </w:tc>
      </w:tr>
      <w:tr>
        <w:tblPrEx>
          <w:shd w:val="clear" w:color="auto" w:fill="ced7e7"/>
        </w:tblPrEx>
        <w:trPr>
          <w:trHeight w:val="226" w:hRule="atLeast"/>
        </w:trPr>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Lactate</w:t>
            </w:r>
          </w:p>
        </w:tc>
        <w:tc>
          <w:tcPr>
            <w:tcW w:type="dxa" w:w="2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it-IT"/>
              </w:rPr>
              <w:t>1.9 mmol/L</w:t>
            </w:r>
          </w:p>
        </w:tc>
        <w:tc>
          <w:tcPr>
            <w:tcW w:type="dxa" w:w="1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0.5</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2.0</w:t>
            </w:r>
          </w:p>
        </w:tc>
        <w:tc>
          <w:tcPr>
            <w:tcW w:type="dxa" w:w="29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rPr>
              <w:t>Normal</w:t>
            </w:r>
          </w:p>
        </w:tc>
      </w:tr>
    </w:tbl>
    <w:p>
      <w:pPr>
        <w:pStyle w:val="Heading 2"/>
        <w:widowControl w:val="0"/>
        <w:spacing w:before="200" w:after="80"/>
      </w:pPr>
    </w:p>
    <w:p>
      <w:pPr>
        <w:pStyle w:val="Heading 2"/>
        <w:widowControl w:val="0"/>
        <w:spacing w:before="200" w:after="80"/>
      </w:pP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Cerebrospinal Fluid (lumbar puncture, Day 0)</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500"/>
        <w:gridCol w:w="1500"/>
        <w:gridCol w:w="2760"/>
      </w:tblGrid>
      <w:tr>
        <w:tblPrEx>
          <w:shd w:val="clear" w:color="auto" w:fill="4f81bd"/>
        </w:tblPrEx>
        <w:trPr>
          <w:trHeight w:val="226" w:hRule="atLeast"/>
          <w:tblHeader/>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Test</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Result</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en-US"/>
              </w:rPr>
              <w:t>Reference</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it-IT"/>
              </w:rPr>
              <w:t>Interpretation</w:t>
            </w:r>
          </w:p>
        </w:tc>
      </w:tr>
      <w:tr>
        <w:tblPrEx>
          <w:shd w:val="clear" w:color="auto" w:fill="ced7e7"/>
        </w:tblPrEx>
        <w:trPr>
          <w:trHeight w:val="226"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Opening pressure</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19 cm H</w:t>
            </w:r>
            <w:r>
              <w:rPr>
                <w:rFonts w:ascii="Calibri" w:hAnsi="Calibri" w:hint="default"/>
                <w:sz w:val="20"/>
                <w:szCs w:val="20"/>
                <w:u w:color="000000"/>
                <w:shd w:val="nil" w:color="auto" w:fill="auto"/>
                <w:rtl w:val="0"/>
              </w:rPr>
              <w:t>₂</w:t>
            </w:r>
            <w:r>
              <w:rPr>
                <w:rFonts w:ascii="Calibri" w:hAnsi="Calibri"/>
                <w:sz w:val="20"/>
                <w:szCs w:val="20"/>
                <w:u w:color="000000"/>
                <w:shd w:val="nil" w:color="auto" w:fill="auto"/>
                <w:rtl w:val="0"/>
              </w:rPr>
              <w:t>O</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10</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20</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Normal</w:t>
            </w:r>
          </w:p>
        </w:tc>
      </w:tr>
      <w:tr>
        <w:tblPrEx>
          <w:shd w:val="clear" w:color="auto" w:fill="ced7e7"/>
        </w:tblPrEx>
        <w:trPr>
          <w:trHeight w:val="226"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Appearance</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Clear, colorless</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hint="default"/>
                <w:sz w:val="20"/>
                <w:szCs w:val="20"/>
                <w:u w:color="000000"/>
                <w:shd w:val="nil" w:color="auto" w:fill="auto"/>
                <w:rtl w:val="0"/>
                <w:lang w:val="en-US"/>
              </w:rPr>
              <w:t>—</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hint="default"/>
                <w:sz w:val="20"/>
                <w:szCs w:val="20"/>
                <w:u w:color="000000"/>
                <w:shd w:val="nil" w:color="auto" w:fill="auto"/>
                <w:rtl w:val="0"/>
                <w:lang w:val="en-US"/>
              </w:rPr>
              <w:t>—</w:t>
            </w:r>
          </w:p>
        </w:tc>
      </w:tr>
      <w:tr>
        <w:tblPrEx>
          <w:shd w:val="clear" w:color="auto" w:fill="ced7e7"/>
        </w:tblPrEx>
        <w:trPr>
          <w:trHeight w:val="529"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WBC</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28 cells/</w:t>
            </w:r>
            <w:r>
              <w:rPr>
                <w:rFonts w:ascii="Calibri" w:hAnsi="Calibri" w:hint="default"/>
                <w:sz w:val="20"/>
                <w:szCs w:val="20"/>
                <w:u w:color="000000"/>
                <w:shd w:val="nil" w:color="auto" w:fill="auto"/>
                <w:rtl w:val="0"/>
              </w:rPr>
              <w:t>µ</w:t>
            </w:r>
            <w:r>
              <w:rPr>
                <w:rFonts w:ascii="Calibri" w:hAnsi="Calibri"/>
                <w:sz w:val="20"/>
                <w:szCs w:val="20"/>
                <w:u w:color="000000"/>
                <w:shd w:val="nil" w:color="auto" w:fill="auto"/>
                <w:rtl w:val="0"/>
              </w:rPr>
              <w:t>L (92% lymphocytes)</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0</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5</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Lymphocytic pleocytosis</w:t>
            </w:r>
          </w:p>
        </w:tc>
      </w:tr>
      <w:tr>
        <w:tblPrEx>
          <w:shd w:val="clear" w:color="auto" w:fill="ced7e7"/>
        </w:tblPrEx>
        <w:trPr>
          <w:trHeight w:val="226"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RBC</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2 cells/</w:t>
            </w:r>
            <w:r>
              <w:rPr>
                <w:rFonts w:ascii="Calibri" w:hAnsi="Calibri" w:hint="default"/>
                <w:sz w:val="20"/>
                <w:szCs w:val="20"/>
                <w:u w:color="000000"/>
                <w:shd w:val="nil" w:color="auto" w:fill="auto"/>
                <w:rtl w:val="0"/>
              </w:rPr>
              <w:t>µ</w:t>
            </w:r>
            <w:r>
              <w:rPr>
                <w:rFonts w:ascii="Calibri" w:hAnsi="Calibri"/>
                <w:sz w:val="20"/>
                <w:szCs w:val="20"/>
                <w:u w:color="000000"/>
                <w:shd w:val="nil" w:color="auto" w:fill="auto"/>
                <w:rtl w:val="0"/>
              </w:rPr>
              <w:t>L</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0</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it-IT"/>
              </w:rPr>
              <w:t>Atraumatic</w:t>
            </w:r>
          </w:p>
        </w:tc>
      </w:tr>
      <w:tr>
        <w:tblPrEx>
          <w:shd w:val="clear" w:color="auto" w:fill="ced7e7"/>
        </w:tblPrEx>
        <w:trPr>
          <w:trHeight w:val="226"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Protein</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48 mg/dL</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15</w:t>
            </w:r>
            <w:r>
              <w:rPr>
                <w:rFonts w:ascii="Calibri" w:hAnsi="Calibri" w:hint="default"/>
                <w:sz w:val="20"/>
                <w:szCs w:val="20"/>
                <w:u w:color="000000"/>
                <w:shd w:val="nil" w:color="auto" w:fill="auto"/>
                <w:rtl w:val="0"/>
              </w:rPr>
              <w:t>–</w:t>
            </w:r>
            <w:r>
              <w:rPr>
                <w:rFonts w:ascii="Calibri" w:hAnsi="Calibri"/>
                <w:sz w:val="20"/>
                <w:szCs w:val="20"/>
                <w:u w:color="000000"/>
                <w:shd w:val="nil" w:color="auto" w:fill="auto"/>
                <w:rtl w:val="0"/>
              </w:rPr>
              <w:t>45</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Mildly elevated</w:t>
            </w:r>
          </w:p>
        </w:tc>
      </w:tr>
      <w:tr>
        <w:tblPrEx>
          <w:shd w:val="clear" w:color="auto" w:fill="ced7e7"/>
        </w:tblPrEx>
        <w:trPr>
          <w:trHeight w:val="226"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it-IT"/>
              </w:rPr>
              <w:t>Glucose</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62 mg/dL (serum 98)</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&gt;60% of serum</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Normal</w:t>
            </w:r>
          </w:p>
        </w:tc>
      </w:tr>
      <w:tr>
        <w:tblPrEx>
          <w:shd w:val="clear" w:color="auto" w:fill="ced7e7"/>
        </w:tblPrEx>
        <w:trPr>
          <w:trHeight w:val="226"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Gram stain / bacterial culture</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No organisms / no growth</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hint="default"/>
                <w:sz w:val="20"/>
                <w:szCs w:val="20"/>
                <w:u w:color="000000"/>
                <w:shd w:val="nil" w:color="auto" w:fill="auto"/>
                <w:rtl w:val="0"/>
                <w:lang w:val="en-US"/>
              </w:rPr>
              <w:t>—</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fr-FR"/>
              </w:rPr>
              <w:t>Negative</w:t>
            </w:r>
          </w:p>
        </w:tc>
      </w:tr>
      <w:tr>
        <w:tblPrEx>
          <w:shd w:val="clear" w:color="auto" w:fill="ced7e7"/>
        </w:tblPrEx>
        <w:trPr>
          <w:trHeight w:val="529"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HSV-1/2, VZV, enterovirus PCR</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fr-FR"/>
              </w:rPr>
              <w:t>Negative</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hint="default"/>
                <w:sz w:val="20"/>
                <w:szCs w:val="20"/>
                <w:u w:color="000000"/>
                <w:shd w:val="nil" w:color="auto" w:fill="auto"/>
                <w:rtl w:val="0"/>
                <w:lang w:val="en-US"/>
              </w:rPr>
              <w:t>—</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fr-FR"/>
              </w:rPr>
              <w:t>Negative</w:t>
            </w:r>
          </w:p>
        </w:tc>
      </w:tr>
      <w:tr>
        <w:tblPrEx>
          <w:shd w:val="clear" w:color="auto" w:fill="ced7e7"/>
        </w:tblPrEx>
        <w:trPr>
          <w:trHeight w:val="529"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Oligoclonal bands</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Present (CSF-restricted, 5 bands)</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de-DE"/>
              </w:rPr>
              <w:t>Absent</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Intrathecal IgG synthesis</w:t>
            </w:r>
          </w:p>
        </w:tc>
      </w:tr>
      <w:tr>
        <w:tblPrEx>
          <w:shd w:val="clear" w:color="auto" w:fill="ced7e7"/>
        </w:tblPrEx>
        <w:trPr>
          <w:trHeight w:val="529"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NMDAR (GluN1) IgG, cell-based assay</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POSITIVE, titer 1:320</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fr-FR"/>
              </w:rPr>
              <w:t>Negative</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Diagnostic</w:t>
            </w:r>
          </w:p>
        </w:tc>
      </w:tr>
      <w:tr>
        <w:tblPrEx>
          <w:shd w:val="clear" w:color="auto" w:fill="ced7e7"/>
        </w:tblPrEx>
        <w:trPr>
          <w:trHeight w:val="226"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Serum NMDAR IgG</w:t>
            </w:r>
          </w:p>
        </w:tc>
        <w:tc>
          <w:tcPr>
            <w:tcW w:type="dxa" w:w="2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POSITIVE, titer 1:160</w:t>
            </w:r>
          </w:p>
        </w:tc>
        <w:tc>
          <w:tcPr>
            <w:tcW w:type="dxa" w:w="15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fr-FR"/>
              </w:rPr>
              <w:t>Negative</w:t>
            </w:r>
          </w:p>
        </w:tc>
        <w:tc>
          <w:tcPr>
            <w:tcW w:type="dxa" w:w="27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it-IT"/>
              </w:rPr>
              <w:t>Concordant</w:t>
            </w:r>
          </w:p>
        </w:tc>
      </w:tr>
    </w:tbl>
    <w:p>
      <w:pPr>
        <w:pStyle w:val="Heading 2"/>
        <w:widowControl w:val="0"/>
        <w:spacing w:before="200" w:after="80"/>
      </w:pPr>
    </w:p>
    <w:p>
      <w:pPr>
        <w:pStyle w:val="Heading 2"/>
        <w:widowControl w:val="0"/>
        <w:spacing w:before="200" w:after="80"/>
      </w:pP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Imaging and Neurophysiology</w:t>
      </w:r>
    </w:p>
    <w:p>
      <w:pPr>
        <w:pStyle w:val="List Paragraph"/>
        <w:numPr>
          <w:ilvl w:val="0"/>
          <w:numId w:val="2"/>
        </w:numPr>
        <w:spacing w:after="60"/>
        <w:rPr>
          <w:sz w:val="22"/>
          <w:szCs w:val="22"/>
          <w:lang w:val="en-US"/>
        </w:rPr>
      </w:pPr>
      <w:r>
        <w:rPr>
          <w:rFonts w:ascii="Calibri" w:hAnsi="Calibri"/>
          <w:sz w:val="22"/>
          <w:szCs w:val="22"/>
          <w:rtl w:val="0"/>
          <w:lang w:val="en-US"/>
        </w:rPr>
        <w:t>CT head without contrast (ED #3): No acute intracranial abnormality.</w:t>
      </w:r>
    </w:p>
    <w:p>
      <w:pPr>
        <w:pStyle w:val="List Paragraph"/>
        <w:numPr>
          <w:ilvl w:val="0"/>
          <w:numId w:val="2"/>
        </w:numPr>
        <w:spacing w:after="60"/>
        <w:rPr>
          <w:sz w:val="22"/>
          <w:szCs w:val="22"/>
          <w:lang w:val="en-US"/>
        </w:rPr>
      </w:pPr>
      <w:r>
        <w:rPr>
          <w:rFonts w:ascii="Calibri" w:hAnsi="Calibri"/>
          <w:sz w:val="22"/>
          <w:szCs w:val="22"/>
          <w:rtl w:val="0"/>
          <w:lang w:val="en-US"/>
        </w:rPr>
        <w:t>MRI brain with and without gadolinium (Day 0): Subtle, non-enhancing T2/FLAIR hyperintensity in the left medial temporal lobe; otherwise normal. (Note: MRI is normal in roughly half of confirmed cases; a normal study does not exclude the diagnosis.)</w:t>
      </w:r>
    </w:p>
    <w:p>
      <w:pPr>
        <w:pStyle w:val="List Paragraph"/>
        <w:numPr>
          <w:ilvl w:val="0"/>
          <w:numId w:val="2"/>
        </w:numPr>
        <w:spacing w:after="60"/>
        <w:rPr>
          <w:sz w:val="22"/>
          <w:szCs w:val="22"/>
          <w:lang w:val="en-US"/>
        </w:rPr>
      </w:pPr>
      <w:r>
        <w:rPr>
          <w:rFonts w:ascii="Calibri" w:hAnsi="Calibri"/>
          <w:sz w:val="22"/>
          <w:szCs w:val="22"/>
          <w:rtl w:val="0"/>
          <w:lang w:val="en-US"/>
        </w:rPr>
        <w:t>Continuous EEG (Day 0</w:t>
      </w:r>
      <w:r>
        <w:rPr>
          <w:rFonts w:ascii="Calibri" w:hAnsi="Calibri" w:hint="default"/>
          <w:sz w:val="22"/>
          <w:szCs w:val="22"/>
          <w:rtl w:val="0"/>
        </w:rPr>
        <w:t>–</w:t>
      </w:r>
      <w:r>
        <w:rPr>
          <w:rFonts w:ascii="Calibri" w:hAnsi="Calibri"/>
          <w:sz w:val="22"/>
          <w:szCs w:val="22"/>
          <w:rtl w:val="0"/>
          <w:lang w:val="en-US"/>
        </w:rPr>
        <w:t xml:space="preserve">2): Diffuse slowing with generalized rhythmic delta activity and superimposed fast (beta) activity </w:t>
      </w:r>
      <w:r>
        <w:rPr>
          <w:rFonts w:ascii="Calibri" w:hAnsi="Calibri" w:hint="default"/>
          <w:sz w:val="22"/>
          <w:szCs w:val="22"/>
          <w:rtl w:val="0"/>
          <w:lang w:val="en-US"/>
        </w:rPr>
        <w:t xml:space="preserve">— </w:t>
      </w:r>
      <w:r>
        <w:rPr>
          <w:rFonts w:ascii="Calibri" w:hAnsi="Calibri"/>
          <w:sz w:val="22"/>
          <w:szCs w:val="22"/>
          <w:rtl w:val="0"/>
          <w:lang w:val="en-US"/>
        </w:rPr>
        <w:t xml:space="preserve">the </w:t>
      </w:r>
      <w:r>
        <w:rPr>
          <w:rFonts w:ascii="Calibri" w:hAnsi="Calibri" w:hint="default"/>
          <w:sz w:val="22"/>
          <w:szCs w:val="22"/>
          <w:rtl w:val="1"/>
          <w:lang w:val="ar-SA" w:bidi="ar-SA"/>
        </w:rPr>
        <w:t>“</w:t>
      </w:r>
      <w:r>
        <w:rPr>
          <w:rFonts w:ascii="Calibri" w:hAnsi="Calibri"/>
          <w:sz w:val="22"/>
          <w:szCs w:val="22"/>
          <w:rtl w:val="0"/>
        </w:rPr>
        <w:t>extreme delta brush</w:t>
      </w:r>
      <w:r>
        <w:rPr>
          <w:rFonts w:ascii="Calibri" w:hAnsi="Calibri" w:hint="default"/>
          <w:sz w:val="22"/>
          <w:szCs w:val="22"/>
          <w:rtl w:val="0"/>
        </w:rPr>
        <w:t xml:space="preserve">” </w:t>
      </w:r>
      <w:r>
        <w:rPr>
          <w:rFonts w:ascii="Calibri" w:hAnsi="Calibri"/>
          <w:sz w:val="22"/>
          <w:szCs w:val="22"/>
          <w:rtl w:val="0"/>
          <w:lang w:val="en-US"/>
        </w:rPr>
        <w:t>pattern; two electrographic seizures captured from the left temporal region.</w:t>
      </w:r>
    </w:p>
    <w:p>
      <w:pPr>
        <w:pStyle w:val="List Paragraph"/>
        <w:numPr>
          <w:ilvl w:val="0"/>
          <w:numId w:val="2"/>
        </w:numPr>
        <w:spacing w:after="60"/>
        <w:rPr>
          <w:sz w:val="22"/>
          <w:szCs w:val="22"/>
          <w:lang w:val="en-US"/>
        </w:rPr>
      </w:pPr>
      <w:r>
        <w:rPr>
          <w:rFonts w:ascii="Calibri" w:hAnsi="Calibri"/>
          <w:sz w:val="22"/>
          <w:szCs w:val="22"/>
          <w:rtl w:val="0"/>
          <w:lang w:val="en-US"/>
        </w:rPr>
        <w:t>Transvaginal pelvic ultrasound (Day 1): 3.4 cm complex right adnexal mass with calcification and fat signal, consistent with mature cystic teratoma. Confirmed on pelvic MRI.</w:t>
      </w:r>
    </w:p>
    <w:p>
      <w:pPr>
        <w:pStyle w:val="List Paragraph"/>
        <w:numPr>
          <w:ilvl w:val="0"/>
          <w:numId w:val="2"/>
        </w:numPr>
        <w:spacing w:after="60"/>
        <w:rPr>
          <w:sz w:val="22"/>
          <w:szCs w:val="22"/>
        </w:rPr>
      </w:pPr>
      <w:r>
        <w:rPr>
          <w:rFonts w:ascii="Calibri" w:hAnsi="Calibri"/>
          <w:sz w:val="22"/>
          <w:szCs w:val="22"/>
          <w:rtl w:val="0"/>
        </w:rPr>
        <w:t>ECG: Sinus tachycardia, QTc 462 ms; no arrhythmia.</w:t>
      </w:r>
    </w:p>
    <w:p>
      <w:pPr>
        <w:pStyle w:val="List Paragraph"/>
        <w:numPr>
          <w:ilvl w:val="0"/>
          <w:numId w:val="2"/>
        </w:numPr>
        <w:spacing w:after="60"/>
        <w:rPr>
          <w:sz w:val="22"/>
          <w:szCs w:val="22"/>
          <w:lang w:val="en-US"/>
        </w:rPr>
      </w:pPr>
      <w:r>
        <w:rPr>
          <w:rFonts w:ascii="Calibri" w:hAnsi="Calibri"/>
          <w:sz w:val="22"/>
          <w:szCs w:val="22"/>
          <w:rtl w:val="0"/>
          <w:lang w:val="en-US"/>
        </w:rPr>
        <w:t>Chest radiograph: Right lower lobe opacity consistent with aspiration.</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Differential Diagnosis (at admission)</w:t>
      </w:r>
    </w:p>
    <w:p>
      <w:pPr>
        <w:pStyle w:val="List Paragraph"/>
        <w:numPr>
          <w:ilvl w:val="0"/>
          <w:numId w:val="4"/>
        </w:numPr>
        <w:spacing w:after="60"/>
        <w:rPr>
          <w:sz w:val="22"/>
          <w:szCs w:val="22"/>
          <w:lang w:val="en-US"/>
        </w:rPr>
      </w:pPr>
      <w:r>
        <w:rPr>
          <w:rFonts w:ascii="Calibri" w:hAnsi="Calibri"/>
          <w:sz w:val="22"/>
          <w:szCs w:val="22"/>
          <w:rtl w:val="0"/>
          <w:lang w:val="en-US"/>
        </w:rPr>
        <w:t xml:space="preserve">Anti-NMDA receptor encephalitis (autoimmune encephalitis) </w:t>
      </w:r>
      <w:r>
        <w:rPr>
          <w:rFonts w:ascii="Calibri" w:hAnsi="Calibri" w:hint="default"/>
          <w:sz w:val="22"/>
          <w:szCs w:val="22"/>
          <w:rtl w:val="0"/>
          <w:lang w:val="en-US"/>
        </w:rPr>
        <w:t xml:space="preserve">— </w:t>
      </w:r>
      <w:r>
        <w:rPr>
          <w:rFonts w:ascii="Calibri" w:hAnsi="Calibri"/>
          <w:sz w:val="22"/>
          <w:szCs w:val="22"/>
          <w:rtl w:val="0"/>
          <w:lang w:val="en-US"/>
        </w:rPr>
        <w:t>favored: young woman, viral-like prodrome, subacute psychiatric onset, memory impairment, seizures, orofacial dyskinesias, autonomic instability, catatonia</w:t>
      </w:r>
    </w:p>
    <w:p>
      <w:pPr>
        <w:pStyle w:val="List Paragraph"/>
        <w:numPr>
          <w:ilvl w:val="0"/>
          <w:numId w:val="4"/>
        </w:numPr>
        <w:spacing w:after="60"/>
        <w:rPr>
          <w:sz w:val="22"/>
          <w:szCs w:val="22"/>
          <w:lang w:val="fr-FR"/>
        </w:rPr>
      </w:pPr>
      <w:r>
        <w:rPr>
          <w:rFonts w:ascii="Calibri" w:hAnsi="Calibri"/>
          <w:sz w:val="22"/>
          <w:szCs w:val="22"/>
          <w:rtl w:val="0"/>
          <w:lang w:val="fr-FR"/>
        </w:rPr>
        <w:t xml:space="preserve">Neuroleptic malignant syndrome </w:t>
      </w:r>
      <w:r>
        <w:rPr>
          <w:rFonts w:ascii="Calibri" w:hAnsi="Calibri" w:hint="default"/>
          <w:sz w:val="22"/>
          <w:szCs w:val="22"/>
          <w:rtl w:val="0"/>
          <w:lang w:val="en-US"/>
        </w:rPr>
        <w:t xml:space="preserve">— </w:t>
      </w:r>
      <w:r>
        <w:rPr>
          <w:rFonts w:ascii="Calibri" w:hAnsi="Calibri"/>
          <w:sz w:val="22"/>
          <w:szCs w:val="22"/>
          <w:rtl w:val="0"/>
          <w:lang w:val="en-US"/>
        </w:rPr>
        <w:t>hyperthermia, rigidity, elevated CK after haloperidol; however, dyskinesias, seizures, and psychiatric prodrome predate antipsychotic exposure</w:t>
      </w:r>
    </w:p>
    <w:p>
      <w:pPr>
        <w:pStyle w:val="List Paragraph"/>
        <w:numPr>
          <w:ilvl w:val="0"/>
          <w:numId w:val="4"/>
        </w:numPr>
        <w:spacing w:after="60"/>
        <w:rPr>
          <w:sz w:val="22"/>
          <w:szCs w:val="22"/>
          <w:lang w:val="en-US"/>
        </w:rPr>
      </w:pPr>
      <w:r>
        <w:rPr>
          <w:rFonts w:ascii="Calibri" w:hAnsi="Calibri"/>
          <w:sz w:val="22"/>
          <w:szCs w:val="22"/>
          <w:rtl w:val="0"/>
          <w:lang w:val="en-US"/>
        </w:rPr>
        <w:t xml:space="preserve">Herpes simplex or other viral encephalitis </w:t>
      </w:r>
      <w:r>
        <w:rPr>
          <w:rFonts w:ascii="Calibri" w:hAnsi="Calibri" w:hint="default"/>
          <w:sz w:val="22"/>
          <w:szCs w:val="22"/>
          <w:rtl w:val="0"/>
          <w:lang w:val="en-US"/>
        </w:rPr>
        <w:t xml:space="preserve">— </w:t>
      </w:r>
      <w:r>
        <w:rPr>
          <w:rFonts w:ascii="Calibri" w:hAnsi="Calibri"/>
          <w:sz w:val="22"/>
          <w:szCs w:val="22"/>
          <w:rtl w:val="0"/>
          <w:lang w:val="en-US"/>
        </w:rPr>
        <w:t>excluded by CSF PCR; empiric acyclovir started pending results</w:t>
      </w:r>
    </w:p>
    <w:p>
      <w:pPr>
        <w:pStyle w:val="List Paragraph"/>
        <w:numPr>
          <w:ilvl w:val="0"/>
          <w:numId w:val="4"/>
        </w:numPr>
        <w:spacing w:after="60"/>
        <w:rPr>
          <w:sz w:val="22"/>
          <w:szCs w:val="22"/>
          <w:lang w:val="en-US"/>
        </w:rPr>
      </w:pPr>
      <w:r>
        <w:rPr>
          <w:rFonts w:ascii="Calibri" w:hAnsi="Calibri"/>
          <w:sz w:val="22"/>
          <w:szCs w:val="22"/>
          <w:rtl w:val="0"/>
          <w:lang w:val="en-US"/>
        </w:rPr>
        <w:t xml:space="preserve">Other autoimmune encephalitides (LGI1, CASPR2, GABA-B, AMPAR) </w:t>
      </w:r>
      <w:r>
        <w:rPr>
          <w:rFonts w:ascii="Calibri" w:hAnsi="Calibri" w:hint="default"/>
          <w:sz w:val="22"/>
          <w:szCs w:val="22"/>
          <w:rtl w:val="0"/>
          <w:lang w:val="en-US"/>
        </w:rPr>
        <w:t xml:space="preserve">— </w:t>
      </w:r>
      <w:r>
        <w:rPr>
          <w:rFonts w:ascii="Calibri" w:hAnsi="Calibri"/>
          <w:sz w:val="22"/>
          <w:szCs w:val="22"/>
          <w:rtl w:val="0"/>
          <w:lang w:val="en-US"/>
        </w:rPr>
        <w:t>extended panel sent</w:t>
      </w:r>
    </w:p>
    <w:p>
      <w:pPr>
        <w:pStyle w:val="List Paragraph"/>
        <w:numPr>
          <w:ilvl w:val="0"/>
          <w:numId w:val="4"/>
        </w:numPr>
        <w:spacing w:after="60"/>
        <w:rPr>
          <w:sz w:val="22"/>
          <w:szCs w:val="22"/>
          <w:lang w:val="en-US"/>
        </w:rPr>
      </w:pPr>
      <w:r>
        <w:rPr>
          <w:rFonts w:ascii="Calibri" w:hAnsi="Calibri"/>
          <w:sz w:val="22"/>
          <w:szCs w:val="22"/>
          <w:rtl w:val="0"/>
          <w:lang w:val="en-US"/>
        </w:rPr>
        <w:t xml:space="preserve">Primary psychiatric disorder (first-episode psychosis, bipolar I) </w:t>
      </w:r>
      <w:r>
        <w:rPr>
          <w:rFonts w:ascii="Calibri" w:hAnsi="Calibri" w:hint="default"/>
          <w:sz w:val="22"/>
          <w:szCs w:val="22"/>
          <w:rtl w:val="0"/>
          <w:lang w:val="en-US"/>
        </w:rPr>
        <w:t xml:space="preserve">— </w:t>
      </w:r>
      <w:r>
        <w:rPr>
          <w:rFonts w:ascii="Calibri" w:hAnsi="Calibri"/>
          <w:sz w:val="22"/>
          <w:szCs w:val="22"/>
          <w:rtl w:val="0"/>
          <w:lang w:val="en-US"/>
        </w:rPr>
        <w:t>cannot account for seizures, dyskinesias, CSF pleocytosis, or EEG findings</w:t>
      </w:r>
    </w:p>
    <w:p>
      <w:pPr>
        <w:pStyle w:val="List Paragraph"/>
        <w:numPr>
          <w:ilvl w:val="0"/>
          <w:numId w:val="4"/>
        </w:numPr>
        <w:spacing w:after="60"/>
        <w:rPr>
          <w:sz w:val="22"/>
          <w:szCs w:val="22"/>
          <w:lang w:val="en-US"/>
        </w:rPr>
      </w:pPr>
      <w:r>
        <w:rPr>
          <w:rFonts w:ascii="Calibri" w:hAnsi="Calibri"/>
          <w:sz w:val="22"/>
          <w:szCs w:val="22"/>
          <w:rtl w:val="0"/>
          <w:lang w:val="en-US"/>
        </w:rPr>
        <w:t xml:space="preserve">Substance-induced psychosis / serotonin syndrome / anticholinergic toxicity </w:t>
      </w:r>
      <w:r>
        <w:rPr>
          <w:rFonts w:ascii="Calibri" w:hAnsi="Calibri" w:hint="default"/>
          <w:sz w:val="22"/>
          <w:szCs w:val="22"/>
          <w:rtl w:val="0"/>
          <w:lang w:val="en-US"/>
        </w:rPr>
        <w:t xml:space="preserve">— </w:t>
      </w:r>
      <w:r>
        <w:rPr>
          <w:rFonts w:ascii="Calibri" w:hAnsi="Calibri"/>
          <w:sz w:val="22"/>
          <w:szCs w:val="22"/>
          <w:rtl w:val="0"/>
          <w:lang w:val="en-US"/>
        </w:rPr>
        <w:t>negative toxicology, no exposure history</w:t>
      </w:r>
    </w:p>
    <w:p>
      <w:pPr>
        <w:pStyle w:val="List Paragraph"/>
        <w:numPr>
          <w:ilvl w:val="0"/>
          <w:numId w:val="4"/>
        </w:numPr>
        <w:spacing w:after="60"/>
        <w:rPr>
          <w:sz w:val="22"/>
          <w:szCs w:val="22"/>
          <w:lang w:val="en-US"/>
        </w:rPr>
      </w:pPr>
      <w:r>
        <w:rPr>
          <w:rFonts w:ascii="Calibri" w:hAnsi="Calibri"/>
          <w:sz w:val="22"/>
          <w:szCs w:val="22"/>
          <w:rtl w:val="0"/>
          <w:lang w:val="en-US"/>
        </w:rPr>
        <w:t xml:space="preserve">Systemic lupus with CNS involvement </w:t>
      </w:r>
      <w:r>
        <w:rPr>
          <w:rFonts w:ascii="Calibri" w:hAnsi="Calibri" w:hint="default"/>
          <w:sz w:val="22"/>
          <w:szCs w:val="22"/>
          <w:rtl w:val="0"/>
          <w:lang w:val="en-US"/>
        </w:rPr>
        <w:t xml:space="preserve">— </w:t>
      </w:r>
      <w:r>
        <w:rPr>
          <w:rFonts w:ascii="Calibri" w:hAnsi="Calibri"/>
          <w:sz w:val="22"/>
          <w:szCs w:val="22"/>
          <w:rtl w:val="0"/>
          <w:lang w:val="en-US"/>
        </w:rPr>
        <w:t>low-titer ANA only; no other criteria</w:t>
      </w:r>
    </w:p>
    <w:p>
      <w:pPr>
        <w:pStyle w:val="List Paragraph"/>
        <w:numPr>
          <w:ilvl w:val="0"/>
          <w:numId w:val="4"/>
        </w:numPr>
        <w:spacing w:after="60"/>
        <w:rPr>
          <w:sz w:val="22"/>
          <w:szCs w:val="22"/>
          <w:lang w:val="it-IT"/>
        </w:rPr>
      </w:pPr>
      <w:r>
        <w:rPr>
          <w:rFonts w:ascii="Calibri" w:hAnsi="Calibri"/>
          <w:sz w:val="22"/>
          <w:szCs w:val="22"/>
          <w:rtl w:val="0"/>
          <w:lang w:val="it-IT"/>
        </w:rPr>
        <w:t xml:space="preserve">Non-convulsive status epilepticus </w:t>
      </w:r>
      <w:r>
        <w:rPr>
          <w:rFonts w:ascii="Calibri" w:hAnsi="Calibri" w:hint="default"/>
          <w:sz w:val="22"/>
          <w:szCs w:val="22"/>
          <w:rtl w:val="0"/>
          <w:lang w:val="en-US"/>
        </w:rPr>
        <w:t xml:space="preserve">— </w:t>
      </w:r>
      <w:r>
        <w:rPr>
          <w:rFonts w:ascii="Calibri" w:hAnsi="Calibri"/>
          <w:sz w:val="22"/>
          <w:szCs w:val="22"/>
          <w:rtl w:val="0"/>
          <w:lang w:val="en-US"/>
        </w:rPr>
        <w:t>contributory, captured on cEEG</w:t>
      </w:r>
    </w:p>
    <w:p>
      <w:pPr>
        <w:pStyle w:val="Heading"/>
        <w:spacing w:before="280" w:after="120"/>
      </w:pPr>
      <w:r>
        <w:rPr>
          <w:rFonts w:ascii="Calibri" w:hAnsi="Calibri"/>
          <w:b w:val="1"/>
          <w:bCs w:val="1"/>
          <w:outline w:val="0"/>
          <w:color w:val="1f3864"/>
          <w:sz w:val="28"/>
          <w:szCs w:val="28"/>
          <w:u w:color="1f3864"/>
          <w:rtl w:val="0"/>
          <w:lang w:val="it-IT"/>
          <w14:textFill>
            <w14:solidFill>
              <w14:srgbClr w14:val="1F3864"/>
            </w14:solidFill>
          </w14:textFill>
        </w:rPr>
        <w:t>Assessment</w:t>
      </w:r>
    </w:p>
    <w:p>
      <w:pPr>
        <w:pStyle w:val="Heading"/>
        <w:spacing w:before="280" w:after="120"/>
      </w:pPr>
      <w:r>
        <w:rPr>
          <w:rFonts w:ascii="Calibri" w:hAnsi="Calibri"/>
          <w:outline w:val="0"/>
          <w:color w:val="000000"/>
          <w:sz w:val="22"/>
          <w:szCs w:val="22"/>
          <w:u w:color="000000"/>
          <w:rtl w:val="0"/>
          <w:lang w:val="en-US"/>
          <w14:textFill>
            <w14:solidFill>
              <w14:srgbClr w14:val="000000"/>
            </w14:solidFill>
          </w14:textFill>
        </w:rPr>
        <w:t>23-year-old woman with definite anti-NMDA receptor encephalitis (Graus 2016 criteria: characteristic clinical syndrome plus CSF NMDAR IgG) associated with a right ovarian mature teratoma, complicated by non-convulsive seizures, catatonia, autonomic dysregulation, and aspiration pneumonia. Diagnosis was delayed approximately 4 weeks across three ED visits during which the illness was successively labeled as a viral syndrome, an acute stress reaction, and first-episode psychosis. Antipsychotic exposure likely unmasked or aggravated autonomic and motor features, mimicking neuroleptic malignant syndrome.</w:t>
      </w:r>
    </w:p>
    <w:p>
      <w:pPr>
        <w:pStyle w:val="Heading"/>
        <w:spacing w:before="280" w:after="120"/>
      </w:pPr>
      <w:r>
        <w:rPr>
          <w:rFonts w:ascii="Calibri" w:hAnsi="Calibri"/>
          <w:b w:val="1"/>
          <w:bCs w:val="1"/>
          <w:outline w:val="0"/>
          <w:color w:val="1f3864"/>
          <w:sz w:val="28"/>
          <w:szCs w:val="28"/>
          <w:u w:color="1f3864"/>
          <w:rtl w:val="0"/>
          <w14:textFill>
            <w14:solidFill>
              <w14:srgbClr w14:val="1F3864"/>
            </w14:solidFill>
          </w14:textFill>
        </w:rPr>
        <w:t>Plan</w:t>
      </w: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Immunotherapy (first-line, initiated Day 1 on clinical suspicion prior to antibody result)</w:t>
      </w:r>
    </w:p>
    <w:p>
      <w:pPr>
        <w:pStyle w:val="List Paragraph"/>
        <w:numPr>
          <w:ilvl w:val="0"/>
          <w:numId w:val="2"/>
        </w:numPr>
        <w:spacing w:after="60"/>
        <w:rPr>
          <w:sz w:val="22"/>
          <w:szCs w:val="22"/>
          <w:lang w:val="en-US"/>
        </w:rPr>
      </w:pPr>
      <w:r>
        <w:rPr>
          <w:rFonts w:ascii="Calibri" w:hAnsi="Calibri"/>
          <w:sz w:val="22"/>
          <w:szCs w:val="22"/>
          <w:rtl w:val="0"/>
          <w:lang w:val="en-US"/>
        </w:rPr>
        <w:t xml:space="preserve">Methylprednisolone 1 g IV daily </w:t>
      </w:r>
      <w:r>
        <w:rPr>
          <w:rFonts w:ascii="Calibri" w:hAnsi="Calibri" w:hint="default"/>
          <w:sz w:val="22"/>
          <w:szCs w:val="22"/>
          <w:rtl w:val="0"/>
        </w:rPr>
        <w:t>×</w:t>
      </w:r>
      <w:r>
        <w:rPr>
          <w:rFonts w:ascii="Calibri" w:hAnsi="Calibri"/>
          <w:sz w:val="22"/>
          <w:szCs w:val="22"/>
          <w:rtl w:val="0"/>
          <w:lang w:val="en-US"/>
        </w:rPr>
        <w:t>5 days</w:t>
      </w:r>
    </w:p>
    <w:p>
      <w:pPr>
        <w:pStyle w:val="List Paragraph"/>
        <w:numPr>
          <w:ilvl w:val="0"/>
          <w:numId w:val="2"/>
        </w:numPr>
        <w:spacing w:after="60"/>
        <w:rPr>
          <w:sz w:val="22"/>
          <w:szCs w:val="22"/>
        </w:rPr>
      </w:pPr>
      <w:r>
        <w:rPr>
          <w:rFonts w:ascii="Calibri" w:hAnsi="Calibri"/>
          <w:sz w:val="22"/>
          <w:szCs w:val="22"/>
          <w:rtl w:val="0"/>
        </w:rPr>
        <w:t xml:space="preserve">IVIG 0.4 g/kg/day </w:t>
      </w:r>
      <w:r>
        <w:rPr>
          <w:rFonts w:ascii="Calibri" w:hAnsi="Calibri" w:hint="default"/>
          <w:sz w:val="22"/>
          <w:szCs w:val="22"/>
          <w:rtl w:val="0"/>
        </w:rPr>
        <w:t>×</w:t>
      </w:r>
      <w:r>
        <w:rPr>
          <w:rFonts w:ascii="Calibri" w:hAnsi="Calibri"/>
          <w:sz w:val="22"/>
          <w:szCs w:val="22"/>
          <w:rtl w:val="0"/>
          <w:lang w:val="en-US"/>
        </w:rPr>
        <w:t>5 days (started concurrently)</w:t>
      </w:r>
    </w:p>
    <w:p>
      <w:pPr>
        <w:pStyle w:val="List Paragraph"/>
        <w:numPr>
          <w:ilvl w:val="0"/>
          <w:numId w:val="2"/>
        </w:numPr>
        <w:spacing w:after="60"/>
        <w:rPr>
          <w:sz w:val="22"/>
          <w:szCs w:val="22"/>
          <w:lang w:val="en-US"/>
        </w:rPr>
      </w:pPr>
      <w:r>
        <w:rPr>
          <w:rFonts w:ascii="Calibri" w:hAnsi="Calibri"/>
          <w:sz w:val="22"/>
          <w:szCs w:val="22"/>
          <w:rtl w:val="0"/>
          <w:lang w:val="en-US"/>
        </w:rPr>
        <w:t>If inadequate response at 10</w:t>
      </w:r>
      <w:r>
        <w:rPr>
          <w:rFonts w:ascii="Calibri" w:hAnsi="Calibri" w:hint="default"/>
          <w:sz w:val="22"/>
          <w:szCs w:val="22"/>
          <w:rtl w:val="0"/>
        </w:rPr>
        <w:t>–</w:t>
      </w:r>
      <w:r>
        <w:rPr>
          <w:rFonts w:ascii="Calibri" w:hAnsi="Calibri"/>
          <w:sz w:val="22"/>
          <w:szCs w:val="22"/>
          <w:rtl w:val="0"/>
          <w:lang w:val="en-US"/>
        </w:rPr>
        <w:t>14 days: rituximab and/or cyclophosphamide (second-line)</w:t>
      </w: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Tumor management</w:t>
      </w:r>
    </w:p>
    <w:p>
      <w:pPr>
        <w:pStyle w:val="List Paragraph"/>
        <w:numPr>
          <w:ilvl w:val="0"/>
          <w:numId w:val="2"/>
        </w:numPr>
        <w:spacing w:after="60"/>
        <w:rPr>
          <w:sz w:val="22"/>
          <w:szCs w:val="22"/>
          <w:lang w:val="en-US"/>
        </w:rPr>
      </w:pPr>
      <w:r>
        <w:rPr>
          <w:rFonts w:ascii="Calibri" w:hAnsi="Calibri"/>
          <w:sz w:val="22"/>
          <w:szCs w:val="22"/>
          <w:rtl w:val="0"/>
          <w:lang w:val="en-US"/>
        </w:rPr>
        <w:t xml:space="preserve">Gynecologic oncology consulted; laparoscopic right ovarian cystectomy (ovary-sparing) scheduled within 72 hours </w:t>
      </w:r>
      <w:r>
        <w:rPr>
          <w:rFonts w:ascii="Calibri" w:hAnsi="Calibri" w:hint="default"/>
          <w:sz w:val="22"/>
          <w:szCs w:val="22"/>
          <w:rtl w:val="0"/>
          <w:lang w:val="en-US"/>
        </w:rPr>
        <w:t xml:space="preserve">— </w:t>
      </w:r>
      <w:r>
        <w:rPr>
          <w:rFonts w:ascii="Calibri" w:hAnsi="Calibri"/>
          <w:sz w:val="22"/>
          <w:szCs w:val="22"/>
          <w:rtl w:val="0"/>
          <w:lang w:val="en-US"/>
        </w:rPr>
        <w:t>early tumor removal is associated with better outcomes</w:t>
      </w: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Supportive / ICU care</w:t>
      </w:r>
    </w:p>
    <w:p>
      <w:pPr>
        <w:pStyle w:val="List Paragraph"/>
        <w:numPr>
          <w:ilvl w:val="0"/>
          <w:numId w:val="2"/>
        </w:numPr>
        <w:spacing w:after="60"/>
        <w:rPr>
          <w:sz w:val="22"/>
          <w:szCs w:val="22"/>
          <w:lang w:val="en-US"/>
        </w:rPr>
      </w:pPr>
      <w:r>
        <w:rPr>
          <w:rFonts w:ascii="Calibri" w:hAnsi="Calibri"/>
          <w:sz w:val="22"/>
          <w:szCs w:val="22"/>
          <w:rtl w:val="0"/>
          <w:lang w:val="en-US"/>
        </w:rPr>
        <w:t>Transfer to neuro-ICU for airway monitoring (hypoventilation risk), continuous EEG, telemetry</w:t>
      </w:r>
    </w:p>
    <w:p>
      <w:pPr>
        <w:pStyle w:val="List Paragraph"/>
        <w:numPr>
          <w:ilvl w:val="0"/>
          <w:numId w:val="2"/>
        </w:numPr>
        <w:spacing w:after="60"/>
        <w:rPr>
          <w:sz w:val="22"/>
          <w:szCs w:val="22"/>
          <w:lang w:val="en-US"/>
        </w:rPr>
      </w:pPr>
      <w:r>
        <w:rPr>
          <w:rFonts w:ascii="Calibri" w:hAnsi="Calibri"/>
          <w:sz w:val="22"/>
          <w:szCs w:val="22"/>
          <w:rtl w:val="0"/>
          <w:lang w:val="en-US"/>
        </w:rPr>
        <w:t>Levetiracetam 1,000 mg IV BID for seizures</w:t>
      </w:r>
    </w:p>
    <w:p>
      <w:pPr>
        <w:pStyle w:val="List Paragraph"/>
        <w:numPr>
          <w:ilvl w:val="0"/>
          <w:numId w:val="2"/>
        </w:numPr>
        <w:spacing w:after="60"/>
        <w:rPr>
          <w:sz w:val="22"/>
          <w:szCs w:val="22"/>
          <w:lang w:val="en-US"/>
        </w:rPr>
      </w:pPr>
      <w:r>
        <w:rPr>
          <w:rFonts w:ascii="Calibri" w:hAnsi="Calibri"/>
          <w:sz w:val="22"/>
          <w:szCs w:val="22"/>
          <w:rtl w:val="0"/>
          <w:lang w:val="en-US"/>
        </w:rPr>
        <w:t>Discontinue haloperidol; avoid dopamine antagonists; lorazepam 1</w:t>
      </w:r>
      <w:r>
        <w:rPr>
          <w:rFonts w:ascii="Calibri" w:hAnsi="Calibri" w:hint="default"/>
          <w:sz w:val="22"/>
          <w:szCs w:val="22"/>
          <w:rtl w:val="0"/>
        </w:rPr>
        <w:t>–</w:t>
      </w:r>
      <w:r>
        <w:rPr>
          <w:rFonts w:ascii="Calibri" w:hAnsi="Calibri"/>
          <w:sz w:val="22"/>
          <w:szCs w:val="22"/>
          <w:rtl w:val="0"/>
          <w:lang w:val="en-US"/>
        </w:rPr>
        <w:t>2 mg IV q6h for catatonia/agitation with monitoring</w:t>
      </w:r>
    </w:p>
    <w:p>
      <w:pPr>
        <w:pStyle w:val="List Paragraph"/>
        <w:numPr>
          <w:ilvl w:val="0"/>
          <w:numId w:val="2"/>
        </w:numPr>
        <w:spacing w:after="60"/>
        <w:rPr>
          <w:sz w:val="22"/>
          <w:szCs w:val="22"/>
          <w:lang w:val="en-US"/>
        </w:rPr>
      </w:pPr>
      <w:r>
        <w:rPr>
          <w:rFonts w:ascii="Calibri" w:hAnsi="Calibri"/>
          <w:sz w:val="22"/>
          <w:szCs w:val="22"/>
          <w:rtl w:val="0"/>
          <w:lang w:val="en-US"/>
        </w:rPr>
        <w:t>Ampicillin-sulbactam for aspiration pneumonia; aspiration precautions, speech-language pathology swallow evaluation</w:t>
      </w:r>
    </w:p>
    <w:p>
      <w:pPr>
        <w:pStyle w:val="List Paragraph"/>
        <w:numPr>
          <w:ilvl w:val="0"/>
          <w:numId w:val="2"/>
        </w:numPr>
        <w:spacing w:after="60"/>
        <w:rPr>
          <w:sz w:val="22"/>
          <w:szCs w:val="22"/>
          <w:lang w:val="en-US"/>
        </w:rPr>
      </w:pPr>
      <w:r>
        <w:rPr>
          <w:rFonts w:ascii="Calibri" w:hAnsi="Calibri"/>
          <w:sz w:val="22"/>
          <w:szCs w:val="22"/>
          <w:rtl w:val="0"/>
          <w:lang w:val="en-US"/>
        </w:rPr>
        <w:t>Acyclovir discontinued once HSV PCR resulted negative</w:t>
      </w:r>
    </w:p>
    <w:p>
      <w:pPr>
        <w:pStyle w:val="List Paragraph"/>
        <w:numPr>
          <w:ilvl w:val="0"/>
          <w:numId w:val="2"/>
        </w:numPr>
        <w:spacing w:after="60"/>
        <w:rPr>
          <w:sz w:val="22"/>
          <w:szCs w:val="22"/>
          <w:lang w:val="en-US"/>
        </w:rPr>
      </w:pPr>
      <w:r>
        <w:rPr>
          <w:rFonts w:ascii="Calibri" w:hAnsi="Calibri"/>
          <w:sz w:val="22"/>
          <w:szCs w:val="22"/>
          <w:rtl w:val="0"/>
          <w:lang w:val="en-US"/>
        </w:rPr>
        <w:t>DVT prophylaxis, pressure-injury prevention, nutrition consult (NG feeding if intake inadequate)</w:t>
      </w:r>
    </w:p>
    <w:p>
      <w:pPr>
        <w:pStyle w:val="Heading 2"/>
        <w:spacing w:before="200" w:after="80"/>
      </w:pPr>
      <w:r>
        <w:rPr>
          <w:rFonts w:ascii="Calibri" w:hAnsi="Calibri"/>
          <w:b w:val="1"/>
          <w:bCs w:val="1"/>
          <w:outline w:val="0"/>
          <w:color w:val="1f3864"/>
          <w:sz w:val="24"/>
          <w:szCs w:val="24"/>
          <w:u w:color="1f3864"/>
          <w:rtl w:val="0"/>
          <w:lang w:val="en-US"/>
          <w14:textFill>
            <w14:solidFill>
              <w14:srgbClr w14:val="1F3864"/>
            </w14:solidFill>
          </w14:textFill>
        </w:rPr>
        <w:t>Counseling and follow-up</w:t>
      </w:r>
    </w:p>
    <w:p>
      <w:pPr>
        <w:pStyle w:val="List Paragraph"/>
        <w:numPr>
          <w:ilvl w:val="0"/>
          <w:numId w:val="2"/>
        </w:numPr>
        <w:spacing w:after="60"/>
        <w:rPr>
          <w:sz w:val="22"/>
          <w:szCs w:val="22"/>
          <w:lang w:val="en-US"/>
        </w:rPr>
      </w:pPr>
      <w:r>
        <w:rPr>
          <w:rFonts w:ascii="Calibri" w:hAnsi="Calibri"/>
          <w:sz w:val="22"/>
          <w:szCs w:val="22"/>
          <w:rtl w:val="0"/>
          <w:lang w:val="en-US"/>
        </w:rPr>
        <w:t>Family meeting held; explained diagnosis, expected slow recovery over months, relapse risk (~12</w:t>
      </w:r>
      <w:r>
        <w:rPr>
          <w:rFonts w:ascii="Calibri" w:hAnsi="Calibri" w:hint="default"/>
          <w:sz w:val="22"/>
          <w:szCs w:val="22"/>
          <w:rtl w:val="0"/>
        </w:rPr>
        <w:t>–</w:t>
      </w:r>
      <w:r>
        <w:rPr>
          <w:rFonts w:ascii="Calibri" w:hAnsi="Calibri"/>
          <w:sz w:val="22"/>
          <w:szCs w:val="22"/>
          <w:rtl w:val="0"/>
          <w:lang w:val="en-US"/>
        </w:rPr>
        <w:t>20%), and need for outpatient neurology and neuropsychology follow-up</w:t>
      </w:r>
    </w:p>
    <w:p>
      <w:pPr>
        <w:pStyle w:val="List Paragraph"/>
        <w:numPr>
          <w:ilvl w:val="0"/>
          <w:numId w:val="2"/>
        </w:numPr>
        <w:spacing w:after="60"/>
        <w:rPr>
          <w:sz w:val="22"/>
          <w:szCs w:val="22"/>
          <w:lang w:val="en-US"/>
        </w:rPr>
      </w:pPr>
      <w:r>
        <w:rPr>
          <w:rFonts w:ascii="Calibri" w:hAnsi="Calibri"/>
          <w:sz w:val="22"/>
          <w:szCs w:val="22"/>
          <w:rtl w:val="0"/>
          <w:lang w:val="en-US"/>
        </w:rPr>
        <w:t>Repeat pelvic imaging at 6 and 12 months; screen for recurrent teratoma</w:t>
      </w:r>
    </w:p>
    <w:p>
      <w:pPr>
        <w:pStyle w:val="List Paragraph"/>
        <w:numPr>
          <w:ilvl w:val="0"/>
          <w:numId w:val="2"/>
        </w:numPr>
        <w:spacing w:after="60"/>
        <w:rPr>
          <w:sz w:val="22"/>
          <w:szCs w:val="22"/>
          <w:lang w:val="en-US"/>
        </w:rPr>
      </w:pPr>
      <w:r>
        <w:rPr>
          <w:rFonts w:ascii="Calibri" w:hAnsi="Calibri"/>
          <w:sz w:val="22"/>
          <w:szCs w:val="22"/>
          <w:rtl w:val="0"/>
          <w:lang w:val="en-US"/>
        </w:rPr>
        <w:t>Cognitive and psychosocial rehabilitation referral at discharge</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 xml:space="preserve">Key Teaching Points </w:t>
      </w:r>
      <w:r>
        <w:rPr>
          <w:rFonts w:ascii="Calibri" w:hAnsi="Calibri" w:hint="default"/>
          <w:b w:val="1"/>
          <w:bCs w:val="1"/>
          <w:outline w:val="0"/>
          <w:color w:val="1f3864"/>
          <w:sz w:val="28"/>
          <w:szCs w:val="28"/>
          <w:u w:color="1f3864"/>
          <w:rtl w:val="0"/>
          <w:lang w:val="en-US"/>
          <w14:textFill>
            <w14:solidFill>
              <w14:srgbClr w14:val="1F3864"/>
            </w14:solidFill>
          </w14:textFill>
        </w:rPr>
        <w:t xml:space="preserve">— </w:t>
      </w:r>
      <w:r>
        <w:rPr>
          <w:rFonts w:ascii="Calibri" w:hAnsi="Calibri"/>
          <w:b w:val="1"/>
          <w:bCs w:val="1"/>
          <w:outline w:val="0"/>
          <w:color w:val="1f3864"/>
          <w:sz w:val="28"/>
          <w:szCs w:val="28"/>
          <w:u w:color="1f3864"/>
          <w:rtl w:val="0"/>
          <w:lang w:val="en-US"/>
          <w14:textFill>
            <w14:solidFill>
              <w14:srgbClr w14:val="1F3864"/>
            </w14:solidFill>
          </w14:textFill>
        </w:rPr>
        <w:t>Diagnostic Uncertainty</w:t>
      </w:r>
    </w:p>
    <w:p>
      <w:pPr>
        <w:pStyle w:val="List Paragraph"/>
        <w:numPr>
          <w:ilvl w:val="0"/>
          <w:numId w:val="5"/>
        </w:numPr>
        <w:spacing w:after="60"/>
        <w:rPr>
          <w:sz w:val="22"/>
          <w:szCs w:val="22"/>
          <w:lang w:val="en-US"/>
        </w:rPr>
      </w:pPr>
      <w:r>
        <w:rPr>
          <w:rFonts w:ascii="Calibri" w:hAnsi="Calibri"/>
          <w:sz w:val="22"/>
          <w:szCs w:val="22"/>
          <w:rtl w:val="0"/>
          <w:lang w:val="en-US"/>
        </w:rPr>
        <w:t>A young adult (particularly a woman) with new psychiatric symptoms after a flu-like prodrome, with no psychiatric history, should prompt consideration of autoimmune encephalitis before a primary psychiatric diagnosis is finalized.</w:t>
      </w:r>
    </w:p>
    <w:p>
      <w:pPr>
        <w:pStyle w:val="List Paragraph"/>
        <w:numPr>
          <w:ilvl w:val="0"/>
          <w:numId w:val="4"/>
        </w:numPr>
        <w:spacing w:after="60"/>
        <w:rPr>
          <w:sz w:val="22"/>
          <w:szCs w:val="22"/>
          <w:lang w:val="en-US"/>
        </w:rPr>
      </w:pPr>
      <w:r>
        <w:rPr>
          <w:rFonts w:ascii="Calibri" w:hAnsi="Calibri"/>
          <w:sz w:val="22"/>
          <w:szCs w:val="22"/>
          <w:rtl w:val="0"/>
          <w:lang w:val="en-US"/>
        </w:rPr>
        <w:t xml:space="preserve">Red flags that were present but not integrated across ED visits: prodromal fever, new-onset insomnia, cognitive/memory deficits, staring spells, and orofacial movements attributed to </w:t>
      </w:r>
      <w:r>
        <w:rPr>
          <w:rFonts w:ascii="Calibri" w:hAnsi="Calibri" w:hint="default"/>
          <w:sz w:val="22"/>
          <w:szCs w:val="22"/>
          <w:rtl w:val="1"/>
          <w:lang w:val="ar-SA" w:bidi="ar-SA"/>
        </w:rPr>
        <w:t>“</w:t>
      </w:r>
      <w:r>
        <w:rPr>
          <w:rFonts w:ascii="Calibri" w:hAnsi="Calibri"/>
          <w:sz w:val="22"/>
          <w:szCs w:val="22"/>
          <w:rtl w:val="0"/>
        </w:rPr>
        <w:t>anxiety.</w:t>
      </w:r>
      <w:r>
        <w:rPr>
          <w:rFonts w:ascii="Calibri" w:hAnsi="Calibri" w:hint="default"/>
          <w:sz w:val="22"/>
          <w:szCs w:val="22"/>
          <w:rtl w:val="0"/>
        </w:rPr>
        <w:t>”</w:t>
      </w:r>
    </w:p>
    <w:p>
      <w:pPr>
        <w:pStyle w:val="List Paragraph"/>
        <w:numPr>
          <w:ilvl w:val="0"/>
          <w:numId w:val="4"/>
        </w:numPr>
        <w:spacing w:after="60"/>
        <w:rPr>
          <w:sz w:val="22"/>
          <w:szCs w:val="22"/>
          <w:lang w:val="en-US"/>
        </w:rPr>
      </w:pPr>
      <w:r>
        <w:rPr>
          <w:rFonts w:ascii="Calibri" w:hAnsi="Calibri"/>
          <w:sz w:val="22"/>
          <w:szCs w:val="22"/>
          <w:rtl w:val="0"/>
          <w:lang w:val="en-US"/>
        </w:rPr>
        <w:t>Normal CT, CBC, BMP, and toxicology do not exclude encephalitis. Lumbar puncture, MRI, and EEG were not obtained until the third presentation.</w:t>
      </w:r>
    </w:p>
    <w:p>
      <w:pPr>
        <w:pStyle w:val="List Paragraph"/>
        <w:numPr>
          <w:ilvl w:val="0"/>
          <w:numId w:val="4"/>
        </w:numPr>
        <w:spacing w:after="60"/>
        <w:rPr>
          <w:sz w:val="22"/>
          <w:szCs w:val="22"/>
          <w:lang w:val="en-US"/>
        </w:rPr>
      </w:pPr>
      <w:r>
        <w:rPr>
          <w:rFonts w:ascii="Calibri" w:hAnsi="Calibri"/>
          <w:sz w:val="22"/>
          <w:szCs w:val="22"/>
          <w:rtl w:val="0"/>
          <w:lang w:val="en-US"/>
        </w:rPr>
        <w:t>Antipsychotics in undiagnosed anti-NMDAR encephalitis can precipitate an NMS-like syndrome; unusual antipsychotic intolerance should heighten suspicion.</w:t>
      </w:r>
    </w:p>
    <w:p>
      <w:pPr>
        <w:pStyle w:val="List Paragraph"/>
        <w:numPr>
          <w:ilvl w:val="0"/>
          <w:numId w:val="4"/>
        </w:numPr>
        <w:spacing w:after="60"/>
        <w:rPr>
          <w:sz w:val="22"/>
          <w:szCs w:val="22"/>
          <w:lang w:val="en-US"/>
        </w:rPr>
      </w:pPr>
      <w:r>
        <w:rPr>
          <w:rFonts w:ascii="Calibri" w:hAnsi="Calibri"/>
          <w:sz w:val="22"/>
          <w:szCs w:val="22"/>
          <w:rtl w:val="0"/>
          <w:lang w:val="en-US"/>
        </w:rPr>
        <w:t>Early immunotherapy and tumor removal improve outcomes; diagnostic delay is an independent predictor of poorer functional recovery.</w:t>
      </w:r>
    </w:p>
    <w:p>
      <w:pPr>
        <w:pStyle w:val="Heading"/>
        <w:spacing w:before="280" w:after="120"/>
      </w:pPr>
      <w:r>
        <w:rPr>
          <w:rFonts w:ascii="Calibri" w:hAnsi="Calibri"/>
          <w:b w:val="1"/>
          <w:bCs w:val="1"/>
          <w:outline w:val="0"/>
          <w:color w:val="1f3864"/>
          <w:sz w:val="28"/>
          <w:szCs w:val="28"/>
          <w:u w:color="1f3864"/>
          <w:rtl w:val="0"/>
          <w:lang w:val="en-US"/>
          <w14:textFill>
            <w14:solidFill>
              <w14:srgbClr w14:val="1F3864"/>
            </w14:solidFill>
          </w14:textFill>
        </w:rPr>
        <w:t>Sources</w:t>
      </w:r>
    </w:p>
    <w:p>
      <w:pPr>
        <w:pStyle w:val="Heading"/>
        <w:spacing w:before="280" w:after="120"/>
      </w:pPr>
      <w:r>
        <w:rPr>
          <w:rFonts w:ascii="Calibri" w:hAnsi="Calibri"/>
          <w:i w:val="1"/>
          <w:iCs w:val="1"/>
          <w:outline w:val="0"/>
          <w:color w:val="000000"/>
          <w:sz w:val="22"/>
          <w:szCs w:val="22"/>
          <w:u w:color="000000"/>
          <w:rtl w:val="0"/>
          <w:lang w:val="en-US"/>
          <w14:textFill>
            <w14:solidFill>
              <w14:srgbClr w14:val="000000"/>
            </w14:solidFill>
          </w14:textFill>
        </w:rPr>
        <w:t>Peer-reviewed references used to model this simulated case:</w:t>
      </w:r>
    </w:p>
    <w:p>
      <w:pPr>
        <w:pStyle w:val="List Paragraph"/>
        <w:numPr>
          <w:ilvl w:val="0"/>
          <w:numId w:val="4"/>
        </w:numPr>
        <w:spacing w:after="60"/>
        <w:rPr>
          <w:sz w:val="22"/>
          <w:szCs w:val="22"/>
          <w:lang w:val="en-US"/>
        </w:rPr>
      </w:pPr>
      <w:r>
        <w:rPr>
          <w:rFonts w:ascii="Calibri" w:hAnsi="Calibri"/>
          <w:sz w:val="22"/>
          <w:szCs w:val="22"/>
          <w:rtl w:val="0"/>
          <w:lang w:val="en-US"/>
        </w:rPr>
        <w:t>Dalmau J, Gleichman AJ, Hughes EG, et al. Anti-NMDA-receptor encephalitis: case series and analysis of the effects of antibodies. Lancet Neurol. 2008;7(12):1091</w:t>
      </w:r>
      <w:r>
        <w:rPr>
          <w:rFonts w:ascii="Calibri" w:hAnsi="Calibri" w:hint="default"/>
          <w:sz w:val="22"/>
          <w:szCs w:val="22"/>
          <w:rtl w:val="0"/>
        </w:rPr>
        <w:t>–</w:t>
      </w:r>
      <w:r>
        <w:rPr>
          <w:rFonts w:ascii="Calibri" w:hAnsi="Calibri"/>
          <w:sz w:val="22"/>
          <w:szCs w:val="22"/>
          <w:rtl w:val="0"/>
          <w:lang w:val="en-US"/>
        </w:rPr>
        <w:t>1098. https://www.thelancet.com/journals/laneur/article/PIIS1474-4422(08)70224-2/abstract</w:t>
      </w:r>
    </w:p>
    <w:p>
      <w:pPr>
        <w:pStyle w:val="List Paragraph"/>
        <w:numPr>
          <w:ilvl w:val="0"/>
          <w:numId w:val="4"/>
        </w:numPr>
        <w:spacing w:after="60"/>
        <w:rPr>
          <w:sz w:val="22"/>
          <w:szCs w:val="22"/>
          <w:lang w:val="en-US"/>
        </w:rPr>
      </w:pPr>
      <w:r>
        <w:rPr>
          <w:rFonts w:ascii="Calibri" w:hAnsi="Calibri"/>
          <w:sz w:val="22"/>
          <w:szCs w:val="22"/>
          <w:rtl w:val="0"/>
          <w:lang w:val="en-US"/>
        </w:rPr>
        <w:t>Dalmau J, Lancaster E, Martinez-Hernandez E, Rosenfeld MR, Balice-Gordon R. Clinical experience and laboratory investigations in patients with anti-NMDAR encephalitis. Lancet Neurol. 2011;10(1):63</w:t>
      </w:r>
      <w:r>
        <w:rPr>
          <w:rFonts w:ascii="Calibri" w:hAnsi="Calibri" w:hint="default"/>
          <w:sz w:val="22"/>
          <w:szCs w:val="22"/>
          <w:rtl w:val="0"/>
        </w:rPr>
        <w:t>–</w:t>
      </w:r>
      <w:r>
        <w:rPr>
          <w:rFonts w:ascii="Calibri" w:hAnsi="Calibri"/>
          <w:sz w:val="22"/>
          <w:szCs w:val="22"/>
          <w:rtl w:val="0"/>
        </w:rPr>
        <w:t>74.</w:t>
      </w:r>
    </w:p>
    <w:p>
      <w:pPr>
        <w:pStyle w:val="List Paragraph"/>
        <w:numPr>
          <w:ilvl w:val="0"/>
          <w:numId w:val="4"/>
        </w:numPr>
        <w:spacing w:after="60"/>
        <w:rPr>
          <w:sz w:val="22"/>
          <w:szCs w:val="22"/>
          <w:lang w:val="en-US"/>
        </w:rPr>
      </w:pPr>
      <w:r>
        <w:rPr>
          <w:rFonts w:ascii="Calibri" w:hAnsi="Calibri"/>
          <w:sz w:val="22"/>
          <w:szCs w:val="22"/>
          <w:rtl w:val="0"/>
          <w:lang w:val="en-US"/>
        </w:rPr>
        <w:t>Titulaer MJ, McCracken L, Gabilondo I, et al. Treatment and prognostic factors for long-term outcome in patients with anti-NMDA receptor encephalitis: an observational cohort study. Lancet Neurol. 2013;12(2):157</w:t>
      </w:r>
      <w:r>
        <w:rPr>
          <w:rFonts w:ascii="Calibri" w:hAnsi="Calibri" w:hint="default"/>
          <w:sz w:val="22"/>
          <w:szCs w:val="22"/>
          <w:rtl w:val="0"/>
        </w:rPr>
        <w:t>–</w:t>
      </w:r>
      <w:r>
        <w:rPr>
          <w:rFonts w:ascii="Calibri" w:hAnsi="Calibri"/>
          <w:sz w:val="22"/>
          <w:szCs w:val="22"/>
          <w:rtl w:val="0"/>
        </w:rPr>
        <w:t>165.</w:t>
      </w:r>
    </w:p>
    <w:p>
      <w:pPr>
        <w:pStyle w:val="List Paragraph"/>
        <w:numPr>
          <w:ilvl w:val="0"/>
          <w:numId w:val="4"/>
        </w:numPr>
        <w:spacing w:after="60"/>
        <w:rPr>
          <w:sz w:val="22"/>
          <w:szCs w:val="22"/>
          <w:lang w:val="pt-PT"/>
        </w:rPr>
      </w:pPr>
      <w:r>
        <w:rPr>
          <w:rFonts w:ascii="Calibri" w:hAnsi="Calibri"/>
          <w:sz w:val="22"/>
          <w:szCs w:val="22"/>
          <w:rtl w:val="0"/>
          <w:lang w:val="pt-PT"/>
        </w:rPr>
        <w:t>Titulaer MJ, McCracken L, Gabilondo I, et al. Late-onset anti-NMDA receptor encephalitis. Neurology. 2013;81(12):1058</w:t>
      </w:r>
      <w:r>
        <w:rPr>
          <w:rFonts w:ascii="Calibri" w:hAnsi="Calibri" w:hint="default"/>
          <w:sz w:val="22"/>
          <w:szCs w:val="22"/>
          <w:rtl w:val="0"/>
        </w:rPr>
        <w:t>–</w:t>
      </w:r>
      <w:r>
        <w:rPr>
          <w:rFonts w:ascii="Calibri" w:hAnsi="Calibri"/>
          <w:sz w:val="22"/>
          <w:szCs w:val="22"/>
          <w:rtl w:val="0"/>
        </w:rPr>
        <w:t>1063. https://pubmed.ncbi.nlm.nih.gov/23946310/</w:t>
      </w:r>
    </w:p>
    <w:p>
      <w:pPr>
        <w:pStyle w:val="List Paragraph"/>
        <w:numPr>
          <w:ilvl w:val="0"/>
          <w:numId w:val="4"/>
        </w:numPr>
        <w:spacing w:after="60"/>
        <w:rPr>
          <w:sz w:val="22"/>
          <w:szCs w:val="22"/>
          <w:lang w:val="en-US"/>
        </w:rPr>
      </w:pPr>
      <w:r>
        <w:rPr>
          <w:rFonts w:ascii="Calibri" w:hAnsi="Calibri"/>
          <w:sz w:val="22"/>
          <w:szCs w:val="22"/>
          <w:rtl w:val="0"/>
          <w:lang w:val="en-US"/>
        </w:rPr>
        <w:t>Graus F, Titulaer MJ, Balu R, et al. A clinical approach to diagnosis of autoimmune encephalitis. Lancet Neurol. 2016;15(4):391</w:t>
      </w:r>
      <w:r>
        <w:rPr>
          <w:rFonts w:ascii="Calibri" w:hAnsi="Calibri" w:hint="default"/>
          <w:sz w:val="22"/>
          <w:szCs w:val="22"/>
          <w:rtl w:val="0"/>
        </w:rPr>
        <w:t>–</w:t>
      </w:r>
      <w:r>
        <w:rPr>
          <w:rFonts w:ascii="Calibri" w:hAnsi="Calibri"/>
          <w:sz w:val="22"/>
          <w:szCs w:val="22"/>
          <w:rtl w:val="0"/>
        </w:rPr>
        <w:t>404.</w:t>
      </w:r>
    </w:p>
    <w:p>
      <w:pPr>
        <w:pStyle w:val="List Paragraph"/>
        <w:numPr>
          <w:ilvl w:val="0"/>
          <w:numId w:val="4"/>
        </w:numPr>
        <w:spacing w:after="60"/>
        <w:rPr>
          <w:sz w:val="22"/>
          <w:szCs w:val="22"/>
        </w:rPr>
      </w:pPr>
      <w:r>
        <w:rPr>
          <w:rFonts w:ascii="Calibri" w:hAnsi="Calibri"/>
          <w:sz w:val="22"/>
          <w:szCs w:val="22"/>
          <w:rtl w:val="0"/>
        </w:rPr>
        <w:t>Dalmau J, Armangu</w:t>
      </w:r>
      <w:r>
        <w:rPr>
          <w:rFonts w:ascii="Calibri" w:hAnsi="Calibri" w:hint="default"/>
          <w:sz w:val="22"/>
          <w:szCs w:val="22"/>
          <w:rtl w:val="0"/>
          <w:lang w:val="fr-FR"/>
        </w:rPr>
        <w:t xml:space="preserve">é </w:t>
      </w:r>
      <w:r>
        <w:rPr>
          <w:rFonts w:ascii="Calibri" w:hAnsi="Calibri"/>
          <w:sz w:val="22"/>
          <w:szCs w:val="22"/>
          <w:rtl w:val="0"/>
        </w:rPr>
        <w:t>T, Planagum</w:t>
      </w:r>
      <w:r>
        <w:rPr>
          <w:rFonts w:ascii="Calibri" w:hAnsi="Calibri" w:hint="default"/>
          <w:sz w:val="22"/>
          <w:szCs w:val="22"/>
          <w:rtl w:val="0"/>
        </w:rPr>
        <w:t xml:space="preserve">à </w:t>
      </w:r>
      <w:r>
        <w:rPr>
          <w:rFonts w:ascii="Calibri" w:hAnsi="Calibri"/>
          <w:sz w:val="22"/>
          <w:szCs w:val="22"/>
          <w:rtl w:val="0"/>
          <w:lang w:val="en-US"/>
        </w:rPr>
        <w:t>J, et al. An update on anti-NMDA receptor encephalitis for neurologists and psychiatrists: mechanisms and models. Lancet Neurol. 2019;18(11):1045</w:t>
      </w:r>
      <w:r>
        <w:rPr>
          <w:rFonts w:ascii="Calibri" w:hAnsi="Calibri" w:hint="default"/>
          <w:sz w:val="22"/>
          <w:szCs w:val="22"/>
          <w:rtl w:val="0"/>
        </w:rPr>
        <w:t>–</w:t>
      </w:r>
      <w:r>
        <w:rPr>
          <w:rFonts w:ascii="Calibri" w:hAnsi="Calibri"/>
          <w:sz w:val="22"/>
          <w:szCs w:val="22"/>
          <w:rtl w:val="0"/>
        </w:rPr>
        <w:t>1057.</w:t>
      </w:r>
    </w:p>
    <w:p>
      <w:pPr>
        <w:pStyle w:val="List Paragraph"/>
        <w:numPr>
          <w:ilvl w:val="0"/>
          <w:numId w:val="4"/>
        </w:numPr>
        <w:spacing w:after="60"/>
        <w:rPr>
          <w:sz w:val="22"/>
          <w:szCs w:val="22"/>
          <w:lang w:val="es-ES_tradnl"/>
        </w:rPr>
      </w:pPr>
      <w:r>
        <w:rPr>
          <w:rFonts w:ascii="Calibri" w:hAnsi="Calibri"/>
          <w:sz w:val="22"/>
          <w:szCs w:val="22"/>
          <w:rtl w:val="0"/>
          <w:lang w:val="es-ES_tradnl"/>
        </w:rPr>
        <w:t>Guasp M, Rosa-Justicia M, Mu</w:t>
      </w:r>
      <w:r>
        <w:rPr>
          <w:rFonts w:ascii="Calibri" w:hAnsi="Calibri" w:hint="default"/>
          <w:sz w:val="22"/>
          <w:szCs w:val="22"/>
          <w:rtl w:val="0"/>
          <w:lang w:val="es-ES_tradnl"/>
        </w:rPr>
        <w:t>ñ</w:t>
      </w:r>
      <w:r>
        <w:rPr>
          <w:rFonts w:ascii="Calibri" w:hAnsi="Calibri"/>
          <w:sz w:val="22"/>
          <w:szCs w:val="22"/>
          <w:rtl w:val="0"/>
          <w:lang w:val="en-US"/>
        </w:rPr>
        <w:t>oz-Lopetegi A, et al. Clinical characterisation of patients in the post-acute stage of anti-NMDA receptor encephalitis: a prospective cohort study and comparison with patients with schizophrenia spectrum disorders. Lancet Neurol. 2022;21(10):899</w:t>
      </w:r>
      <w:r>
        <w:rPr>
          <w:rFonts w:ascii="Calibri" w:hAnsi="Calibri" w:hint="default"/>
          <w:sz w:val="22"/>
          <w:szCs w:val="22"/>
          <w:rtl w:val="0"/>
        </w:rPr>
        <w:t>–</w:t>
      </w:r>
      <w:r>
        <w:rPr>
          <w:rFonts w:ascii="Calibri" w:hAnsi="Calibri"/>
          <w:sz w:val="22"/>
          <w:szCs w:val="22"/>
          <w:rtl w:val="0"/>
          <w:lang w:val="en-US"/>
        </w:rPr>
        <w:t>910. https://www.thelancet.com/journals/laneur/article/PIIS1474-4422(22)00299-X/abstract</w:t>
      </w:r>
    </w:p>
    <w:p>
      <w:pPr>
        <w:pStyle w:val="List Paragraph"/>
        <w:numPr>
          <w:ilvl w:val="0"/>
          <w:numId w:val="4"/>
        </w:numPr>
        <w:spacing w:after="60"/>
        <w:rPr>
          <w:sz w:val="22"/>
          <w:szCs w:val="22"/>
          <w:lang w:val="en-US"/>
        </w:rPr>
      </w:pPr>
      <w:r>
        <w:rPr>
          <w:rFonts w:ascii="Calibri" w:hAnsi="Calibri"/>
          <w:sz w:val="22"/>
          <w:szCs w:val="22"/>
          <w:rtl w:val="0"/>
          <w:lang w:val="en-US"/>
        </w:rPr>
        <w:t>Kayser MS, Dalmau J (review). Anti-N-methyl-d-aspartate receptor encephalitis: review of clinical presentation, diagnosis and treatment. PMC4495821. https://www.ncbi.nlm.nih.gov/pmc/articles/PMC4495821/</w:t>
      </w:r>
    </w:p>
    <w:p>
      <w:pPr>
        <w:pStyle w:val="List Paragraph"/>
        <w:numPr>
          <w:ilvl w:val="0"/>
          <w:numId w:val="4"/>
        </w:numPr>
        <w:spacing w:after="60"/>
        <w:rPr>
          <w:sz w:val="22"/>
          <w:szCs w:val="22"/>
          <w:lang w:val="en-US"/>
        </w:rPr>
      </w:pPr>
      <w:r>
        <w:rPr>
          <w:rFonts w:ascii="Calibri" w:hAnsi="Calibri"/>
          <w:sz w:val="22"/>
          <w:szCs w:val="22"/>
          <w:rtl w:val="0"/>
          <w:lang w:val="en-US"/>
        </w:rPr>
        <w:t xml:space="preserve">Anti-NMDAR encephalitis: higher suspicion needed for earlier diagnosis (case report, literature review and diagnostic criteria) </w:t>
      </w:r>
      <w:r>
        <w:rPr>
          <w:rFonts w:ascii="Calibri" w:hAnsi="Calibri" w:hint="default"/>
          <w:sz w:val="22"/>
          <w:szCs w:val="22"/>
          <w:rtl w:val="0"/>
          <w:lang w:val="en-US"/>
        </w:rPr>
        <w:t xml:space="preserve">— </w:t>
      </w:r>
      <w:r>
        <w:rPr>
          <w:rFonts w:ascii="Calibri" w:hAnsi="Calibri"/>
          <w:sz w:val="22"/>
          <w:szCs w:val="22"/>
          <w:rtl w:val="0"/>
          <w:lang w:val="en-US"/>
        </w:rPr>
        <w:t>22-year-old woman initially held under the Mental Health Act for acute psychosis. PMC6949662. https://www.ncbi.nlm.nih.gov/pmc/articles/PMC6949662/</w:t>
      </w:r>
    </w:p>
    <w:p>
      <w:pPr>
        <w:pStyle w:val="List Paragraph"/>
        <w:numPr>
          <w:ilvl w:val="0"/>
          <w:numId w:val="4"/>
        </w:numPr>
        <w:spacing w:after="60"/>
        <w:rPr>
          <w:sz w:val="22"/>
          <w:szCs w:val="22"/>
          <w:lang w:val="en-US"/>
        </w:rPr>
      </w:pPr>
      <w:r>
        <w:rPr>
          <w:rFonts w:ascii="Calibri" w:hAnsi="Calibri"/>
          <w:sz w:val="22"/>
          <w:szCs w:val="22"/>
          <w:rtl w:val="0"/>
          <w:lang w:val="en-US"/>
        </w:rPr>
        <w:t xml:space="preserve">Anti-NMDA receptor encephalitis presenting as an acute psychotic episode misdiagnosed as dissociative disorder: a case report </w:t>
      </w:r>
      <w:r>
        <w:rPr>
          <w:rFonts w:ascii="Calibri" w:hAnsi="Calibri" w:hint="default"/>
          <w:sz w:val="22"/>
          <w:szCs w:val="22"/>
          <w:rtl w:val="0"/>
          <w:lang w:val="en-US"/>
        </w:rPr>
        <w:t xml:space="preserve">— </w:t>
      </w:r>
      <w:r>
        <w:rPr>
          <w:rFonts w:ascii="Calibri" w:hAnsi="Calibri"/>
          <w:sz w:val="22"/>
          <w:szCs w:val="22"/>
          <w:rtl w:val="0"/>
          <w:lang w:val="en-US"/>
        </w:rPr>
        <w:t>19-year-old woman with ovarian teratoma. PMC5818849. https://www.ncbi.nlm.nih.gov/pmc/articles/PMC5818849/</w:t>
      </w:r>
    </w:p>
    <w:p>
      <w:pPr>
        <w:pStyle w:val="List Paragraph"/>
        <w:numPr>
          <w:ilvl w:val="0"/>
          <w:numId w:val="4"/>
        </w:numPr>
        <w:spacing w:after="60"/>
        <w:rPr>
          <w:sz w:val="22"/>
          <w:szCs w:val="22"/>
          <w:lang w:val="en-US"/>
        </w:rPr>
      </w:pPr>
      <w:r>
        <w:rPr>
          <w:rFonts w:ascii="Calibri" w:hAnsi="Calibri"/>
          <w:sz w:val="22"/>
          <w:szCs w:val="22"/>
          <w:rtl w:val="0"/>
          <w:lang w:val="en-US"/>
        </w:rPr>
        <w:t>Anti-N-methyl-D-aspartate receptor encephalitis: characteristics and rapid diagnostic approach in the emergency department. PMC9206331. https://www.ncbi.nlm.nih.gov/pmc/articles/PMC9206331/</w:t>
      </w:r>
    </w:p>
    <w:p>
      <w:pPr>
        <w:pStyle w:val="List Paragraph"/>
        <w:numPr>
          <w:ilvl w:val="0"/>
          <w:numId w:val="4"/>
        </w:numPr>
        <w:spacing w:after="60"/>
        <w:rPr>
          <w:sz w:val="22"/>
          <w:szCs w:val="22"/>
          <w:lang w:val="en-US"/>
        </w:rPr>
      </w:pPr>
      <w:r>
        <w:rPr>
          <w:rFonts w:ascii="Calibri" w:hAnsi="Calibri"/>
          <w:sz w:val="22"/>
          <w:szCs w:val="22"/>
          <w:rtl w:val="0"/>
          <w:lang w:val="en-US"/>
        </w:rPr>
        <w:t xml:space="preserve">Acute psychosis and autoimmune encephalitis: a diagnostic challenge in clinical practice </w:t>
      </w:r>
      <w:r>
        <w:rPr>
          <w:rFonts w:ascii="Calibri" w:hAnsi="Calibri" w:hint="default"/>
          <w:sz w:val="22"/>
          <w:szCs w:val="22"/>
          <w:rtl w:val="0"/>
          <w:lang w:val="en-US"/>
        </w:rPr>
        <w:t xml:space="preserve">— </w:t>
      </w:r>
      <w:r>
        <w:rPr>
          <w:rFonts w:ascii="Calibri" w:hAnsi="Calibri"/>
          <w:sz w:val="22"/>
          <w:szCs w:val="22"/>
          <w:rtl w:val="0"/>
          <w:lang w:val="en-US"/>
        </w:rPr>
        <w:t>42-year-old woman involuntarily admitted to psychiatry. PMC13445306. https://pmc.ncbi.nlm.nih.gov/articles/PMC13445306/</w:t>
      </w:r>
    </w:p>
    <w:p>
      <w:pPr>
        <w:pStyle w:val="List Paragraph"/>
        <w:numPr>
          <w:ilvl w:val="0"/>
          <w:numId w:val="4"/>
        </w:numPr>
        <w:spacing w:after="60"/>
        <w:rPr>
          <w:sz w:val="22"/>
          <w:szCs w:val="22"/>
          <w:lang w:val="en-US"/>
        </w:rPr>
      </w:pPr>
      <w:r>
        <w:rPr>
          <w:rFonts w:ascii="Calibri" w:hAnsi="Calibri"/>
          <w:sz w:val="22"/>
          <w:szCs w:val="22"/>
          <w:rtl w:val="0"/>
          <w:lang w:val="en-US"/>
        </w:rPr>
        <w:t xml:space="preserve">Anti-NMDA receptor encephalitis initially misdiagnosed as psychiatric illness: implications for perioperative and critical care management. Academic Anesthesia, 2025. </w:t>
      </w:r>
      <w:r>
        <w:rPr>
          <w:rStyle w:val="Hyperlink.0"/>
        </w:rPr>
        <w:fldChar w:fldCharType="begin" w:fldLock="0"/>
      </w:r>
      <w:r>
        <w:rPr>
          <w:rStyle w:val="Hyperlink.0"/>
        </w:rPr>
        <w:instrText xml:space="preserve"> HYPERLINK "https://academicanesthesia.scholasticahq.com/article/145182"</w:instrText>
      </w:r>
      <w:r>
        <w:rPr>
          <w:rStyle w:val="Hyperlink.0"/>
        </w:rPr>
        <w:fldChar w:fldCharType="separate" w:fldLock="0"/>
      </w:r>
      <w:r>
        <w:rPr>
          <w:rStyle w:val="Hyperlink.0"/>
          <w:rtl w:val="0"/>
          <w:lang w:val="en-US"/>
        </w:rPr>
        <w:t>https://academicanesthesia.scholasticahq.com/article/145182</w:t>
      </w:r>
      <w:r>
        <w:rPr/>
        <w:fldChar w:fldCharType="end" w:fldLock="0"/>
      </w:r>
    </w:p>
    <w:p>
      <w:pPr>
        <w:pStyle w:val="List Paragraph"/>
        <w:spacing w:after="60"/>
        <w:rPr>
          <w:rFonts w:ascii="Calibri" w:cs="Calibri" w:hAnsi="Calibri" w:eastAsia="Calibri"/>
          <w:sz w:val="22"/>
          <w:szCs w:val="22"/>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Georgia" w:cs="Georgia" w:hAnsi="Georgia" w:eastAsia="Georgia"/>
          <w:outline w:val="0"/>
          <w:color w:val="f0efec"/>
          <w:sz w:val="32"/>
          <w:szCs w:val="32"/>
          <w:shd w:val="clear" w:color="auto" w:fill="ffffff"/>
          <w:rtl w:val="0"/>
          <w14:textFill>
            <w14:solidFill>
              <w14:srgbClr w14:val="F0EFEC"/>
            </w14:solidFill>
          </w14:textFill>
        </w:rPr>
      </w:pPr>
      <w:r>
        <w:rPr>
          <w:rFonts w:ascii="Georgia" w:hAnsi="Georgia"/>
          <w:outline w:val="0"/>
          <w:color w:val="f0efec"/>
          <w:sz w:val="32"/>
          <w:szCs w:val="32"/>
          <w:shd w:val="clear" w:color="auto" w:fill="151515"/>
          <w:rtl w:val="0"/>
          <w:lang w:val="en-US"/>
          <w14:textFill>
            <w14:solidFill>
              <w14:srgbClr w14:val="F0EFEC"/>
            </w14:solidFill>
          </w14:textFill>
        </w:rPr>
        <w:t xml:space="preserve">Both cases are built as full physician-style reports (ID/demographics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14:textFill>
            <w14:solidFill>
              <w14:srgbClr w14:val="F0EFEC"/>
            </w14:solidFill>
          </w14:textFill>
        </w:rPr>
        <w:t xml:space="preserve">CC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14:textFill>
            <w14:solidFill>
              <w14:srgbClr w14:val="F0EFEC"/>
            </w14:solidFill>
          </w14:textFill>
        </w:rPr>
        <w:t xml:space="preserve">HPI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en-US"/>
          <w14:textFill>
            <w14:solidFill>
              <w14:srgbClr w14:val="F0EFEC"/>
            </w14:solidFill>
          </w14:textFill>
        </w:rPr>
        <w:t xml:space="preserve">prior-visit table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nl-NL"/>
          <w14:textFill>
            <w14:solidFill>
              <w14:srgbClr w14:val="F0EFEC"/>
            </w14:solidFill>
          </w14:textFill>
        </w:rPr>
        <w:t xml:space="preserve">PMH/PSH/meds/allergies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de-DE"/>
          <w14:textFill>
            <w14:solidFill>
              <w14:srgbClr w14:val="F0EFEC"/>
            </w14:solidFill>
          </w14:textFill>
        </w:rPr>
        <w:t xml:space="preserve">FH/SH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14:textFill>
            <w14:solidFill>
              <w14:srgbClr w14:val="F0EFEC"/>
            </w14:solidFill>
          </w14:textFill>
        </w:rPr>
        <w:t xml:space="preserve">ROS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en-US"/>
          <w14:textFill>
            <w14:solidFill>
              <w14:srgbClr w14:val="F0EFEC"/>
            </w14:solidFill>
          </w14:textFill>
        </w:rPr>
        <w:t xml:space="preserve">PE with vitals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en-US"/>
          <w14:textFill>
            <w14:solidFill>
              <w14:srgbClr w14:val="F0EFEC"/>
            </w14:solidFill>
          </w14:textFill>
        </w:rPr>
        <w:t xml:space="preserve">labs/CSF or metabolic work-up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en-US"/>
          <w14:textFill>
            <w14:solidFill>
              <w14:srgbClr w14:val="F0EFEC"/>
            </w14:solidFill>
          </w14:textFill>
        </w:rPr>
        <w:t xml:space="preserve">imaging/EEG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en-US"/>
          <w14:textFill>
            <w14:solidFill>
              <w14:srgbClr w14:val="F0EFEC"/>
            </w14:solidFill>
          </w14:textFill>
        </w:rPr>
        <w:t xml:space="preserve">differential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en-US"/>
          <w14:textFill>
            <w14:solidFill>
              <w14:srgbClr w14:val="F0EFEC"/>
            </w14:solidFill>
          </w14:textFill>
        </w:rPr>
        <w:t xml:space="preserve">assessment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fr-FR"/>
          <w14:textFill>
            <w14:solidFill>
              <w14:srgbClr w14:val="F0EFEC"/>
            </w14:solidFill>
          </w14:textFill>
        </w:rPr>
        <w:t xml:space="preserve">plan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en-US"/>
          <w14:textFill>
            <w14:solidFill>
              <w14:srgbClr w14:val="F0EFEC"/>
            </w14:solidFill>
          </w14:textFill>
        </w:rPr>
        <w:t xml:space="preserve">teaching points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14:textFill>
            <w14:solidFill>
              <w14:srgbClr w14:val="F0EFEC"/>
            </w14:solidFill>
          </w14:textFill>
        </w:rPr>
        <w:t xml:space="preserve"> </w:t>
      </w:r>
      <w:r>
        <w:rPr>
          <w:rFonts w:ascii="Georgia" w:hAnsi="Georgia"/>
          <w:outline w:val="0"/>
          <w:color w:val="f0efec"/>
          <w:sz w:val="32"/>
          <w:szCs w:val="32"/>
          <w:shd w:val="clear" w:color="auto" w:fill="151515"/>
          <w:rtl w:val="0"/>
          <w:lang w:val="fr-FR"/>
          <w14:textFill>
            <w14:solidFill>
              <w14:srgbClr w14:val="F0EFEC"/>
            </w14:solidFill>
          </w14:textFill>
        </w:rPr>
        <w:t>sources).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Georgia" w:cs="Georgia" w:hAnsi="Georgia" w:eastAsia="Georgia"/>
          <w:outline w:val="0"/>
          <w:color w:val="f0efec"/>
          <w:sz w:val="32"/>
          <w:szCs w:val="32"/>
          <w:shd w:val="clear" w:color="auto" w:fill="ffffff"/>
          <w:rtl w:val="0"/>
          <w14:textFill>
            <w14:solidFill>
              <w14:srgbClr w14:val="F0EFEC"/>
            </w14:solidFill>
          </w14:textFill>
        </w:rPr>
      </w:pPr>
      <w:r>
        <w:rPr>
          <w:rFonts w:ascii="Georgia" w:hAnsi="Georgia"/>
          <w:b w:val="1"/>
          <w:bCs w:val="1"/>
          <w:outline w:val="0"/>
          <w:color w:val="f0efec"/>
          <w:sz w:val="32"/>
          <w:szCs w:val="32"/>
          <w:shd w:val="clear" w:color="auto" w:fill="151515"/>
          <w:rtl w:val="0"/>
          <w:lang w:val="it-IT"/>
          <w14:textFill>
            <w14:solidFill>
              <w14:srgbClr w14:val="F0EFEC"/>
            </w14:solidFill>
          </w14:textFill>
        </w:rPr>
        <w:t xml:space="preserve">Case 1 </w:t>
      </w:r>
      <w:r>
        <w:rPr>
          <w:rFonts w:ascii="Georgia" w:hAnsi="Georgia" w:hint="default"/>
          <w:b w:val="1"/>
          <w:bCs w:val="1"/>
          <w:outline w:val="0"/>
          <w:color w:val="f0efec"/>
          <w:sz w:val="32"/>
          <w:szCs w:val="32"/>
          <w:shd w:val="clear" w:color="auto" w:fill="151515"/>
          <w:rtl w:val="0"/>
          <w:lang w:val="en-US"/>
          <w14:textFill>
            <w14:solidFill>
              <w14:srgbClr w14:val="F0EFEC"/>
            </w14:solidFill>
          </w14:textFill>
        </w:rPr>
        <w:t xml:space="preserve">— </w:t>
      </w:r>
      <w:r>
        <w:rPr>
          <w:rFonts w:ascii="Georgia" w:hAnsi="Georgia"/>
          <w:b w:val="1"/>
          <w:bCs w:val="1"/>
          <w:outline w:val="0"/>
          <w:color w:val="f0efec"/>
          <w:sz w:val="32"/>
          <w:szCs w:val="32"/>
          <w:shd w:val="clear" w:color="auto" w:fill="151515"/>
          <w:rtl w:val="0"/>
          <w:lang w:val="de-DE"/>
          <w14:textFill>
            <w14:solidFill>
              <w14:srgbClr w14:val="F0EFEC"/>
            </w14:solidFill>
          </w14:textFill>
        </w:rPr>
        <w:t>Anti-NMDAR encephalitis:</w:t>
      </w:r>
      <w:r>
        <w:rPr>
          <w:rFonts w:ascii="Georgia" w:hAnsi="Georgia" w:hint="default"/>
          <w:outline w:val="0"/>
          <w:color w:val="f0efec"/>
          <w:sz w:val="32"/>
          <w:szCs w:val="32"/>
          <w:shd w:val="clear" w:color="auto" w:fill="151515"/>
          <w:rtl w:val="0"/>
          <w14:textFill>
            <w14:solidFill>
              <w14:srgbClr w14:val="F0EFEC"/>
            </w14:solidFill>
          </w14:textFill>
        </w:rPr>
        <w:t> </w:t>
      </w:r>
      <w:r>
        <w:rPr>
          <w:rFonts w:ascii="Georgia" w:hAnsi="Georgia"/>
          <w:outline w:val="0"/>
          <w:color w:val="f0efec"/>
          <w:sz w:val="32"/>
          <w:szCs w:val="32"/>
          <w:shd w:val="clear" w:color="auto" w:fill="151515"/>
          <w:rtl w:val="0"/>
          <w:lang w:val="en-US"/>
          <w14:textFill>
            <w14:solidFill>
              <w14:srgbClr w14:val="F0EFEC"/>
            </w14:solidFill>
          </w14:textFill>
        </w:rPr>
        <w:t>23F grad student, three ED visits over 19 days labeled</w:t>
      </w:r>
      <w:r>
        <w:rPr>
          <w:rFonts w:ascii="Georgia" w:hAnsi="Georgia" w:hint="default"/>
          <w:outline w:val="0"/>
          <w:color w:val="f0efec"/>
          <w:sz w:val="32"/>
          <w:szCs w:val="32"/>
          <w:shd w:val="clear" w:color="auto" w:fill="151515"/>
          <w:rtl w:val="0"/>
          <w14:textFill>
            <w14:solidFill>
              <w14:srgbClr w14:val="F0EFEC"/>
            </w14:solidFill>
          </w14:textFill>
        </w:rPr>
        <w:t> </w:t>
      </w:r>
      <w:r>
        <w:rPr>
          <w:rFonts w:ascii="Georgia" w:hAnsi="Georgia"/>
          <w:i w:val="1"/>
          <w:iCs w:val="1"/>
          <w:outline w:val="0"/>
          <w:color w:val="f0efec"/>
          <w:sz w:val="32"/>
          <w:szCs w:val="32"/>
          <w:shd w:val="clear" w:color="auto" w:fill="151515"/>
          <w:rtl w:val="0"/>
          <w:lang w:val="en-US"/>
          <w14:textFill>
            <w14:solidFill>
              <w14:srgbClr w14:val="F0EFEC"/>
            </w14:solidFill>
          </w14:textFill>
        </w:rPr>
        <w:t>viral syndrome/tension headache</w:t>
      </w:r>
      <w:r>
        <w:rPr>
          <w:rFonts w:ascii="Georgia" w:hAnsi="Georgia" w:hint="default"/>
          <w:outline w:val="0"/>
          <w:color w:val="f0efec"/>
          <w:sz w:val="32"/>
          <w:szCs w:val="32"/>
          <w:shd w:val="clear" w:color="auto" w:fill="151515"/>
          <w:rtl w:val="0"/>
          <w14:textFill>
            <w14:solidFill>
              <w14:srgbClr w14:val="F0EFEC"/>
            </w14:solidFill>
          </w14:textFill>
        </w:rPr>
        <w:t>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hint="default"/>
          <w:outline w:val="0"/>
          <w:color w:val="f0efec"/>
          <w:sz w:val="32"/>
          <w:szCs w:val="32"/>
          <w:shd w:val="clear" w:color="auto" w:fill="151515"/>
          <w:rtl w:val="0"/>
          <w14:textFill>
            <w14:solidFill>
              <w14:srgbClr w14:val="F0EFEC"/>
            </w14:solidFill>
          </w14:textFill>
        </w:rPr>
        <w:t> </w:t>
      </w:r>
      <w:r>
        <w:rPr>
          <w:rFonts w:ascii="Georgia" w:hAnsi="Georgia"/>
          <w:i w:val="1"/>
          <w:iCs w:val="1"/>
          <w:outline w:val="0"/>
          <w:color w:val="f0efec"/>
          <w:sz w:val="32"/>
          <w:szCs w:val="32"/>
          <w:shd w:val="clear" w:color="auto" w:fill="151515"/>
          <w:rtl w:val="0"/>
          <w:lang w:val="en-US"/>
          <w14:textFill>
            <w14:solidFill>
              <w14:srgbClr w14:val="F0EFEC"/>
            </w14:solidFill>
          </w14:textFill>
        </w:rPr>
        <w:t>acute stress disorder/anxiety</w:t>
      </w:r>
      <w:r>
        <w:rPr>
          <w:rFonts w:ascii="Georgia" w:hAnsi="Georgia" w:hint="default"/>
          <w:outline w:val="0"/>
          <w:color w:val="f0efec"/>
          <w:sz w:val="32"/>
          <w:szCs w:val="32"/>
          <w:shd w:val="clear" w:color="auto" w:fill="151515"/>
          <w:rtl w:val="0"/>
          <w14:textFill>
            <w14:solidFill>
              <w14:srgbClr w14:val="F0EFEC"/>
            </w14:solidFill>
          </w14:textFill>
        </w:rPr>
        <w:t>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hint="default"/>
          <w:outline w:val="0"/>
          <w:color w:val="f0efec"/>
          <w:sz w:val="32"/>
          <w:szCs w:val="32"/>
          <w:shd w:val="clear" w:color="auto" w:fill="151515"/>
          <w:rtl w:val="0"/>
          <w14:textFill>
            <w14:solidFill>
              <w14:srgbClr w14:val="F0EFEC"/>
            </w14:solidFill>
          </w14:textFill>
        </w:rPr>
        <w:t> </w:t>
      </w:r>
      <w:r>
        <w:rPr>
          <w:rFonts w:ascii="Georgia" w:hAnsi="Georgia"/>
          <w:i w:val="1"/>
          <w:iCs w:val="1"/>
          <w:outline w:val="0"/>
          <w:color w:val="f0efec"/>
          <w:sz w:val="32"/>
          <w:szCs w:val="32"/>
          <w:shd w:val="clear" w:color="auto" w:fill="151515"/>
          <w:rtl w:val="0"/>
          <w:lang w:val="en-US"/>
          <w14:textFill>
            <w14:solidFill>
              <w14:srgbClr w14:val="F0EFEC"/>
            </w14:solidFill>
          </w14:textFill>
        </w:rPr>
        <w:t>first-episode psychosis</w:t>
      </w:r>
      <w:r>
        <w:rPr>
          <w:rFonts w:ascii="Georgia" w:hAnsi="Georgia" w:hint="default"/>
          <w:outline w:val="0"/>
          <w:color w:val="f0efec"/>
          <w:sz w:val="32"/>
          <w:szCs w:val="32"/>
          <w:shd w:val="clear" w:color="auto" w:fill="151515"/>
          <w:rtl w:val="0"/>
          <w14:textFill>
            <w14:solidFill>
              <w14:srgbClr w14:val="F0EFEC"/>
            </w14:solidFill>
          </w14:textFill>
        </w:rPr>
        <w:t> </w:t>
      </w:r>
      <w:r>
        <w:rPr>
          <w:rFonts w:ascii="Georgia" w:hAnsi="Georgia"/>
          <w:outline w:val="0"/>
          <w:color w:val="f0efec"/>
          <w:sz w:val="32"/>
          <w:szCs w:val="32"/>
          <w:shd w:val="clear" w:color="auto" w:fill="151515"/>
          <w:rtl w:val="0"/>
          <w:lang w:val="en-US"/>
          <w14:textFill>
            <w14:solidFill>
              <w14:srgbClr w14:val="F0EFEC"/>
            </w14:solidFill>
          </w14:textFill>
        </w:rPr>
        <w:t>(psych hold + haloperidol), then NMS-like decompensation, seizure, extreme delta brush on EEG, CSF NMDAR IgG positive, ovarian teratoma. Modeled on the Dalmau/Titulaer/Graus Lancet Neurology cohorts plus five published misdiagnosis case reports.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Georgia" w:cs="Georgia" w:hAnsi="Georgia" w:eastAsia="Georgia"/>
          <w:outline w:val="0"/>
          <w:color w:val="f0efec"/>
          <w:sz w:val="32"/>
          <w:szCs w:val="32"/>
          <w:shd w:val="clear" w:color="auto" w:fill="ffffff"/>
          <w:rtl w:val="0"/>
          <w14:textFill>
            <w14:solidFill>
              <w14:srgbClr w14:val="F0EFEC"/>
            </w14:solidFill>
          </w14:textFill>
        </w:rPr>
      </w:pPr>
      <w:r>
        <w:rPr>
          <w:rFonts w:ascii="Georgia" w:hAnsi="Georgia"/>
          <w:b w:val="1"/>
          <w:bCs w:val="1"/>
          <w:outline w:val="0"/>
          <w:color w:val="f0efec"/>
          <w:sz w:val="32"/>
          <w:szCs w:val="32"/>
          <w:shd w:val="clear" w:color="auto" w:fill="151515"/>
          <w:rtl w:val="0"/>
          <w:lang w:val="it-IT"/>
          <w14:textFill>
            <w14:solidFill>
              <w14:srgbClr w14:val="F0EFEC"/>
            </w14:solidFill>
          </w14:textFill>
        </w:rPr>
        <w:t xml:space="preserve">Case 2 </w:t>
      </w:r>
      <w:r>
        <w:rPr>
          <w:rFonts w:ascii="Georgia" w:hAnsi="Georgia" w:hint="default"/>
          <w:b w:val="1"/>
          <w:bCs w:val="1"/>
          <w:outline w:val="0"/>
          <w:color w:val="f0efec"/>
          <w:sz w:val="32"/>
          <w:szCs w:val="32"/>
          <w:shd w:val="clear" w:color="auto" w:fill="151515"/>
          <w:rtl w:val="0"/>
          <w:lang w:val="en-US"/>
          <w14:textFill>
            <w14:solidFill>
              <w14:srgbClr w14:val="F0EFEC"/>
            </w14:solidFill>
          </w14:textFill>
        </w:rPr>
        <w:t xml:space="preserve">— </w:t>
      </w:r>
      <w:r>
        <w:rPr>
          <w:rFonts w:ascii="Georgia" w:hAnsi="Georgia"/>
          <w:b w:val="1"/>
          <w:bCs w:val="1"/>
          <w:outline w:val="0"/>
          <w:color w:val="f0efec"/>
          <w:sz w:val="32"/>
          <w:szCs w:val="32"/>
          <w:shd w:val="clear" w:color="auto" w:fill="151515"/>
          <w:rtl w:val="0"/>
          <w:lang w:val="en-US"/>
          <w14:textFill>
            <w14:solidFill>
              <w14:srgbClr w14:val="F0EFEC"/>
            </w14:solidFill>
          </w14:textFill>
        </w:rPr>
        <w:t>CPT II deficiency (myopathic form):</w:t>
      </w:r>
      <w:r>
        <w:rPr>
          <w:rFonts w:ascii="Georgia" w:hAnsi="Georgia" w:hint="default"/>
          <w:outline w:val="0"/>
          <w:color w:val="f0efec"/>
          <w:sz w:val="32"/>
          <w:szCs w:val="32"/>
          <w:shd w:val="clear" w:color="auto" w:fill="151515"/>
          <w:rtl w:val="0"/>
          <w14:textFill>
            <w14:solidFill>
              <w14:srgbClr w14:val="F0EFEC"/>
            </w14:solidFill>
          </w14:textFill>
        </w:rPr>
        <w:t> </w:t>
      </w:r>
      <w:r>
        <w:rPr>
          <w:rFonts w:ascii="Georgia" w:hAnsi="Georgia"/>
          <w:outline w:val="0"/>
          <w:color w:val="f0efec"/>
          <w:sz w:val="32"/>
          <w:szCs w:val="32"/>
          <w:shd w:val="clear" w:color="auto" w:fill="151515"/>
          <w:rtl w:val="0"/>
          <w:lang w:val="en-US"/>
          <w14:textFill>
            <w14:solidFill>
              <w14:srgbClr w14:val="F0EFEC"/>
            </w14:solidFill>
          </w14:textFill>
        </w:rPr>
        <w:t>27M cold-warehouse night worker/runner, two ED visits and one urgent care visit over 3 years labeled</w:t>
      </w:r>
      <w:r>
        <w:rPr>
          <w:rFonts w:ascii="Georgia" w:hAnsi="Georgia" w:hint="default"/>
          <w:outline w:val="0"/>
          <w:color w:val="f0efec"/>
          <w:sz w:val="32"/>
          <w:szCs w:val="32"/>
          <w:shd w:val="clear" w:color="auto" w:fill="151515"/>
          <w:rtl w:val="0"/>
          <w14:textFill>
            <w14:solidFill>
              <w14:srgbClr w14:val="F0EFEC"/>
            </w14:solidFill>
          </w14:textFill>
        </w:rPr>
        <w:t> </w:t>
      </w:r>
      <w:r>
        <w:rPr>
          <w:rFonts w:ascii="Georgia" w:hAnsi="Georgia"/>
          <w:i w:val="1"/>
          <w:iCs w:val="1"/>
          <w:outline w:val="0"/>
          <w:color w:val="f0efec"/>
          <w:sz w:val="32"/>
          <w:szCs w:val="32"/>
          <w:shd w:val="clear" w:color="auto" w:fill="151515"/>
          <w:rtl w:val="0"/>
          <w:lang w:val="en-US"/>
          <w14:textFill>
            <w14:solidFill>
              <w14:srgbClr w14:val="F0EFEC"/>
            </w14:solidFill>
          </w14:textFill>
        </w:rPr>
        <w:t>exertional rhabdo/overtraining/"generalized leg pain"</w:t>
      </w:r>
      <w:r>
        <w:rPr>
          <w:rFonts w:ascii="Georgia" w:hAnsi="Georgia" w:hint="default"/>
          <w:outline w:val="0"/>
          <w:color w:val="f0efec"/>
          <w:sz w:val="32"/>
          <w:szCs w:val="32"/>
          <w:shd w:val="clear" w:color="auto" w:fill="151515"/>
          <w:rtl w:val="0"/>
          <w14:textFill>
            <w14:solidFill>
              <w14:srgbClr w14:val="F0EFEC"/>
            </w14:solidFill>
          </w14:textFill>
        </w:rPr>
        <w:t>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hint="default"/>
          <w:outline w:val="0"/>
          <w:color w:val="f0efec"/>
          <w:sz w:val="32"/>
          <w:szCs w:val="32"/>
          <w:shd w:val="clear" w:color="auto" w:fill="151515"/>
          <w:rtl w:val="0"/>
          <w14:textFill>
            <w14:solidFill>
              <w14:srgbClr w14:val="F0EFEC"/>
            </w14:solidFill>
          </w14:textFill>
        </w:rPr>
        <w:t> </w:t>
      </w:r>
      <w:r>
        <w:rPr>
          <w:rFonts w:ascii="Georgia" w:hAnsi="Georgia"/>
          <w:i w:val="1"/>
          <w:iCs w:val="1"/>
          <w:outline w:val="0"/>
          <w:color w:val="f0efec"/>
          <w:sz w:val="32"/>
          <w:szCs w:val="32"/>
          <w:shd w:val="clear" w:color="auto" w:fill="151515"/>
          <w:rtl w:val="0"/>
          <w14:textFill>
            <w14:solidFill>
              <w14:srgbClr w14:val="F0EFEC"/>
            </w14:solidFill>
          </w14:textFill>
        </w:rPr>
        <w:t>viral myositis</w:t>
      </w:r>
      <w:r>
        <w:rPr>
          <w:rFonts w:ascii="Georgia" w:hAnsi="Georgia" w:hint="default"/>
          <w:outline w:val="0"/>
          <w:color w:val="f0efec"/>
          <w:sz w:val="32"/>
          <w:szCs w:val="32"/>
          <w:shd w:val="clear" w:color="auto" w:fill="151515"/>
          <w:rtl w:val="0"/>
          <w14:textFill>
            <w14:solidFill>
              <w14:srgbClr w14:val="F0EFEC"/>
            </w14:solidFill>
          </w14:textFill>
        </w:rPr>
        <w:t> </w:t>
      </w:r>
      <w:r>
        <w:rPr>
          <w:rFonts w:ascii="Arial Unicode MS" w:cs="Arial Unicode MS" w:hAnsi="Arial Unicode MS" w:eastAsia="Arial Unicode MS" w:hint="default"/>
          <w:b w:val="0"/>
          <w:bCs w:val="0"/>
          <w:i w:val="0"/>
          <w:iCs w:val="0"/>
          <w:outline w:val="0"/>
          <w:color w:val="f0efec"/>
          <w:sz w:val="32"/>
          <w:szCs w:val="32"/>
          <w:shd w:val="clear" w:color="auto" w:fill="151515"/>
          <w:rtl w:val="0"/>
          <w14:textFill>
            <w14:solidFill>
              <w14:srgbClr w14:val="F0EFEC"/>
            </w14:solidFill>
          </w14:textFill>
        </w:rPr>
        <w:t>→</w:t>
      </w:r>
      <w:r>
        <w:rPr>
          <w:rFonts w:ascii="Georgia" w:hAnsi="Georgia" w:hint="default"/>
          <w:outline w:val="0"/>
          <w:color w:val="f0efec"/>
          <w:sz w:val="32"/>
          <w:szCs w:val="32"/>
          <w:shd w:val="clear" w:color="auto" w:fill="151515"/>
          <w:rtl w:val="0"/>
          <w14:textFill>
            <w14:solidFill>
              <w14:srgbClr w14:val="F0EFEC"/>
            </w14:solidFill>
          </w14:textFill>
        </w:rPr>
        <w:t> </w:t>
      </w:r>
      <w:r>
        <w:rPr>
          <w:rFonts w:ascii="Georgia" w:hAnsi="Georgia"/>
          <w:i w:val="1"/>
          <w:iCs w:val="1"/>
          <w:outline w:val="0"/>
          <w:color w:val="f0efec"/>
          <w:sz w:val="32"/>
          <w:szCs w:val="32"/>
          <w:shd w:val="clear" w:color="auto" w:fill="151515"/>
          <w:rtl w:val="0"/>
          <w:lang w:val="en-US"/>
          <w14:textFill>
            <w14:solidFill>
              <w14:srgbClr w14:val="F0EFEC"/>
            </w14:solidFill>
          </w14:textFill>
        </w:rPr>
        <w:t>rhabdo with AKI blamed on dehydration/NSAIDs</w:t>
      </w:r>
      <w:r>
        <w:rPr>
          <w:rFonts w:ascii="Georgia" w:hAnsi="Georgia"/>
          <w:outline w:val="0"/>
          <w:color w:val="f0efec"/>
          <w:sz w:val="32"/>
          <w:szCs w:val="32"/>
          <w:shd w:val="clear" w:color="auto" w:fill="151515"/>
          <w:rtl w:val="0"/>
          <w:lang w:val="en-US"/>
          <w14:textFill>
            <w14:solidFill>
              <w14:srgbClr w14:val="F0EFEC"/>
            </w14:solidFill>
          </w14:textFill>
        </w:rPr>
        <w:t>, now presenting with CK 68,900 and AKI after fasting + cold + rhinovirus. Acylcarnitine profile and homozygous p.S113L confirm. Modeled on Joshi/Deschauer/Zierz's 50-patient cohort and six published case reports.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tl w:val="0"/>
        </w:rPr>
      </w:pPr>
      <w:r>
        <w:rPr>
          <w:rFonts w:ascii="Georgia" w:hAnsi="Georgia"/>
          <w:outline w:val="0"/>
          <w:color w:val="f0efec"/>
          <w:sz w:val="32"/>
          <w:szCs w:val="32"/>
          <w:shd w:val="clear" w:color="auto" w:fill="151515"/>
          <w:rtl w:val="0"/>
          <w:lang w:val="en-US"/>
          <w14:textFill>
            <w14:solidFill>
              <w14:srgbClr w14:val="F0EFEC"/>
            </w14:solidFill>
          </w14:textFill>
        </w:rPr>
        <w:t>Each source list has 13</w:t>
      </w:r>
      <w:r>
        <w:rPr>
          <w:rFonts w:ascii="Georgia" w:hAnsi="Georgia" w:hint="default"/>
          <w:outline w:val="0"/>
          <w:color w:val="f0efec"/>
          <w:sz w:val="32"/>
          <w:szCs w:val="32"/>
          <w:shd w:val="clear" w:color="auto" w:fill="151515"/>
          <w:rtl w:val="0"/>
          <w14:textFill>
            <w14:solidFill>
              <w14:srgbClr w14:val="F0EFEC"/>
            </w14:solidFill>
          </w14:textFill>
        </w:rPr>
        <w:t>–</w:t>
      </w:r>
      <w:r>
        <w:rPr>
          <w:rFonts w:ascii="Georgia" w:hAnsi="Georgia"/>
          <w:outline w:val="0"/>
          <w:color w:val="f0efec"/>
          <w:sz w:val="32"/>
          <w:szCs w:val="32"/>
          <w:shd w:val="clear" w:color="auto" w:fill="151515"/>
          <w:rtl w:val="0"/>
          <w:lang w:val="en-US"/>
          <w14:textFill>
            <w14:solidFill>
              <w14:srgbClr w14:val="F0EFEC"/>
            </w14:solidFill>
          </w14:textFill>
        </w:rPr>
        <w:t>14 peer-reviewed references with PubMed/PMC/journal links. I only cited papers that surfaced verifiably in my searches; a few classic references (e.g., Lehmann 2017, Lilleker 2018) appeared as cited works within those papers rather than as direct hits, so double-check page numbers if these go into a formal submission. All patient names, dates, and values are fictional and labeled as such in the header and footer.</w:t>
      </w:r>
      <w:r>
        <w:rPr>
          <w:rFonts w:ascii="Georgia" w:cs="Georgia" w:hAnsi="Georgia" w:eastAsia="Georgia"/>
          <w:outline w:val="0"/>
          <w:color w:val="f0efec"/>
          <w:sz w:val="32"/>
          <w:szCs w:val="32"/>
          <w:shd w:val="clear" w:color="auto" w:fill="ffffff"/>
          <w:rtl w:val="0"/>
          <w14:textFill>
            <w14:solidFill>
              <w14:srgbClr w14:val="F0EFEC"/>
            </w14:solidFill>
          </w14:textFill>
        </w:r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Calibri" w:hAnsi="Calibri"/>
        <w:outline w:val="0"/>
        <w:color w:val="595959"/>
        <w:sz w:val="18"/>
        <w:szCs w:val="18"/>
        <w:u w:color="595959"/>
        <w:rtl w:val="0"/>
        <w:lang w:val="en-US"/>
        <w14:textFill>
          <w14:solidFill>
            <w14:srgbClr w14:val="595959"/>
          </w14:solidFill>
        </w14:textFill>
      </w:rPr>
      <w:t xml:space="preserve">Simulated teaching case </w:t>
    </w:r>
    <w:r>
      <w:rPr>
        <w:rFonts w:ascii="Calibri" w:hAnsi="Calibri" w:hint="default"/>
        <w:outline w:val="0"/>
        <w:color w:val="595959"/>
        <w:sz w:val="18"/>
        <w:szCs w:val="18"/>
        <w:u w:color="595959"/>
        <w:rtl w:val="0"/>
        <w:lang w:val="en-US"/>
        <w14:textFill>
          <w14:solidFill>
            <w14:srgbClr w14:val="595959"/>
          </w14:solidFill>
        </w14:textFill>
      </w:rPr>
      <w:t xml:space="preserve">— </w:t>
    </w:r>
    <w:r>
      <w:rPr>
        <w:rFonts w:ascii="Calibri" w:hAnsi="Calibri"/>
        <w:outline w:val="0"/>
        <w:color w:val="595959"/>
        <w:sz w:val="18"/>
        <w:szCs w:val="18"/>
        <w:u w:color="595959"/>
        <w:rtl w:val="0"/>
        <w:lang w:val="en-US"/>
        <w14:textFill>
          <w14:solidFill>
            <w14:srgbClr w14:val="595959"/>
          </w14:solidFill>
        </w14:textFill>
      </w:rPr>
      <w:t xml:space="preserve">fictional patient. Page </w:t>
    </w:r>
    <w:r>
      <w:rPr>
        <w:rFonts w:ascii="Calibri" w:cs="Calibri" w:hAnsi="Calibri" w:eastAsia="Calibri"/>
        <w:outline w:val="0"/>
        <w:color w:val="595959"/>
        <w:sz w:val="18"/>
        <w:szCs w:val="18"/>
        <w:u w:color="595959"/>
        <w14:textFill>
          <w14:solidFill>
            <w14:srgbClr w14:val="595959"/>
          </w14:solidFill>
        </w14:textFill>
      </w:rPr>
      <w:fldChar w:fldCharType="begin" w:fldLock="0"/>
    </w:r>
    <w:r>
      <w:rPr>
        <w:rFonts w:ascii="Calibri" w:cs="Calibri" w:hAnsi="Calibri" w:eastAsia="Calibri"/>
        <w:outline w:val="0"/>
        <w:color w:val="595959"/>
        <w:sz w:val="18"/>
        <w:szCs w:val="18"/>
        <w:u w:color="595959"/>
        <w14:textFill>
          <w14:solidFill>
            <w14:srgbClr w14:val="595959"/>
          </w14:solidFill>
        </w14:textFill>
      </w:rPr>
      <w:instrText xml:space="preserve"> PAGE </w:instrText>
    </w:r>
    <w:r>
      <w:rPr>
        <w:rFonts w:ascii="Calibri" w:cs="Calibri" w:hAnsi="Calibri" w:eastAsia="Calibri"/>
        <w:outline w:val="0"/>
        <w:color w:val="595959"/>
        <w:sz w:val="18"/>
        <w:szCs w:val="18"/>
        <w:u w:color="595959"/>
        <w14:textFill>
          <w14:solidFill>
            <w14:srgbClr w14:val="595959"/>
          </w14:solidFill>
        </w14:textFill>
      </w:rPr>
      <w:fldChar w:fldCharType="separate" w:fldLock="0"/>
    </w:r>
    <w:r>
      <w:rPr>
        <w:rFonts w:ascii="Calibri" w:cs="Calibri" w:hAnsi="Calibri" w:eastAsia="Calibri"/>
        <w:outline w:val="0"/>
        <w:color w:val="595959"/>
        <w:sz w:val="18"/>
        <w:szCs w:val="18"/>
        <w:u w:color="595959"/>
        <w14:textFill>
          <w14:solidFill>
            <w14:srgbClr w14:val="595959"/>
          </w14:solidFill>
        </w14:textFill>
      </w:rPr>
    </w:r>
    <w:r>
      <w:rPr>
        <w:rFonts w:ascii="Calibri" w:cs="Calibri" w:hAnsi="Calibri" w:eastAsia="Calibri"/>
        <w:outline w:val="0"/>
        <w:color w:val="595959"/>
        <w:sz w:val="18"/>
        <w:szCs w:val="18"/>
        <w:u w:color="595959"/>
        <w14:textFill>
          <w14:solidFill>
            <w14:srgbClr w14:val="59595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9"/>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numbering" w:styleId="Imported Style 2">
    <w:name w:val="Imported Style 2"/>
    <w:pPr>
      <w:numPr>
        <w:numId w:val="3"/>
      </w:numPr>
    </w:p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